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3969"/>
        <w:gridCol w:w="4111"/>
      </w:tblGrid>
      <w:tr w:rsidR="007F36C9" w:rsidRPr="00B45DFB" w:rsidTr="00B45DFB">
        <w:trPr>
          <w:trHeight w:val="2880"/>
        </w:trPr>
        <w:tc>
          <w:tcPr>
            <w:tcW w:w="7513" w:type="dxa"/>
            <w:vMerge w:val="restart"/>
          </w:tcPr>
          <w:p w:rsidR="007F36C9" w:rsidRPr="00B45DFB" w:rsidRDefault="007F36C9" w:rsidP="00B45DFB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45DFB">
                  <w:rPr>
                    <w:b/>
                    <w:sz w:val="28"/>
                    <w:szCs w:val="28"/>
                    <w:lang w:val="en-US"/>
                  </w:rPr>
                  <w:t>Enterprise</w:t>
                </w:r>
              </w:smartTag>
            </w:smartTag>
            <w:r w:rsidRPr="00B45DFB">
              <w:rPr>
                <w:sz w:val="28"/>
                <w:szCs w:val="28"/>
                <w:lang w:val="en-US"/>
              </w:rPr>
              <w:t xml:space="preserve"> (draft):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 xml:space="preserve">An enterprise is an </w:t>
            </w:r>
            <w:r w:rsidRPr="00B45DFB">
              <w:rPr>
                <w:sz w:val="28"/>
                <w:szCs w:val="28"/>
                <w:u w:val="single"/>
                <w:lang w:val="en-US"/>
              </w:rPr>
              <w:t xml:space="preserve">organizational unit </w:t>
            </w:r>
            <w:r w:rsidRPr="00B45DFB">
              <w:rPr>
                <w:sz w:val="28"/>
                <w:szCs w:val="28"/>
                <w:lang w:val="en-US"/>
              </w:rPr>
              <w:t>which has a sufficient degree of autonomy in decision-making and sells in its own will goods and services to a third party. It can be constituted by one legal unit, a combination of legal units or of parts of legal units. An enterprise carries out one or more activities at one or more locations.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An enterprise can correspond to either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a single legal unit not controlled by any other legal unit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an enterprise group as a set of legal units under common control, or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ind w:left="284" w:firstLine="0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an autonomous part of an enterprise group.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Organizational means: For the economic activity in which the enterprise engaged, a planned and formal structure is identified. This structure is able to govern its production processes and manage its factors of production.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Selling goods and services in its own will be a third party is a necessary condition to identify the autonomous statistical unit enterprise.</w:t>
            </w:r>
          </w:p>
          <w:p w:rsidR="007F36C9" w:rsidRPr="00B45DFB" w:rsidRDefault="007F36C9" w:rsidP="00B45DFB">
            <w:pPr>
              <w:pStyle w:val="Listeafsnit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>Sufficient autonomy in decision means: The enterprise has the control of the use (may not be form a legal point of view) of its productive means, processes and outputs of the economic activities in which it is engaged.</w:t>
            </w:r>
          </w:p>
          <w:p w:rsidR="007F36C9" w:rsidRPr="00B45DFB" w:rsidRDefault="007F36C9" w:rsidP="00B45DFB">
            <w:pPr>
              <w:spacing w:after="0" w:line="240" w:lineRule="auto"/>
              <w:ind w:left="411"/>
            </w:pPr>
          </w:p>
        </w:tc>
        <w:tc>
          <w:tcPr>
            <w:tcW w:w="3969" w:type="dxa"/>
          </w:tcPr>
          <w:p w:rsidR="007F36C9" w:rsidRPr="00B45DFB" w:rsidRDefault="007F36C9" w:rsidP="00B45DFB">
            <w:pPr>
              <w:spacing w:after="0" w:line="240" w:lineRule="auto"/>
              <w:ind w:left="21" w:hanging="21"/>
              <w:jc w:val="both"/>
              <w:rPr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45DFB">
                  <w:rPr>
                    <w:b/>
                    <w:sz w:val="28"/>
                    <w:szCs w:val="28"/>
                    <w:lang w:val="en-US"/>
                  </w:rPr>
                  <w:t>Enterprise</w:t>
                </w:r>
              </w:smartTag>
            </w:smartTag>
            <w:r w:rsidRPr="00B45DFB">
              <w:rPr>
                <w:b/>
                <w:sz w:val="28"/>
                <w:szCs w:val="28"/>
                <w:lang w:val="en-US"/>
              </w:rPr>
              <w:t xml:space="preserve"> group</w:t>
            </w:r>
            <w:r w:rsidRPr="00B45DFB">
              <w:rPr>
                <w:sz w:val="28"/>
                <w:szCs w:val="28"/>
                <w:lang w:val="en-US"/>
              </w:rPr>
              <w:t xml:space="preserve"> (draft):</w:t>
            </w:r>
          </w:p>
          <w:p w:rsidR="007F36C9" w:rsidRPr="00B45DFB" w:rsidRDefault="007F36C9" w:rsidP="00B45DFB">
            <w:pPr>
              <w:spacing w:after="0" w:line="240" w:lineRule="auto"/>
              <w:ind w:left="21" w:hanging="21"/>
              <w:jc w:val="both"/>
              <w:rPr>
                <w:sz w:val="28"/>
                <w:szCs w:val="28"/>
                <w:lang w:val="en-US"/>
              </w:rPr>
            </w:pPr>
            <w:r w:rsidRPr="00B45DFB">
              <w:rPr>
                <w:sz w:val="28"/>
                <w:szCs w:val="28"/>
                <w:lang w:val="en-US"/>
              </w:rPr>
              <w:t xml:space="preserve">An enterprise group is a </w:t>
            </w:r>
            <w:r w:rsidRPr="00B45DFB">
              <w:rPr>
                <w:sz w:val="28"/>
                <w:szCs w:val="28"/>
                <w:u w:val="single"/>
                <w:lang w:val="en-US"/>
              </w:rPr>
              <w:t>set of legal units</w:t>
            </w:r>
            <w:r w:rsidRPr="00B45DFB">
              <w:rPr>
                <w:sz w:val="28"/>
                <w:szCs w:val="28"/>
                <w:lang w:val="en-US"/>
              </w:rPr>
              <w:t xml:space="preserve"> bound together by legal and/or financial links under the same control.</w:t>
            </w:r>
          </w:p>
          <w:p w:rsidR="007F36C9" w:rsidRPr="00B45DFB" w:rsidRDefault="007F36C9" w:rsidP="00B45DFB">
            <w:pPr>
              <w:spacing w:after="0" w:line="240" w:lineRule="auto"/>
              <w:ind w:left="21" w:hanging="21"/>
              <w:rPr>
                <w:lang w:val="en-US"/>
              </w:rPr>
            </w:pPr>
            <w:r w:rsidRPr="00B45DFB">
              <w:rPr>
                <w:lang w:val="en-US"/>
              </w:rPr>
              <w:t>Operational rules: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Control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Management and control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Consolidation and control</w:t>
            </w:r>
          </w:p>
        </w:tc>
        <w:tc>
          <w:tcPr>
            <w:tcW w:w="4111" w:type="dxa"/>
          </w:tcPr>
          <w:p w:rsidR="007F36C9" w:rsidRPr="00B45DFB" w:rsidRDefault="007F36C9" w:rsidP="00B45DFB">
            <w:pPr>
              <w:tabs>
                <w:tab w:val="num" w:pos="757"/>
              </w:tabs>
              <w:spacing w:after="0" w:line="240" w:lineRule="auto"/>
              <w:jc w:val="both"/>
              <w:rPr>
                <w:sz w:val="26"/>
                <w:szCs w:val="26"/>
                <w:lang w:val="en-GB"/>
              </w:rPr>
            </w:pPr>
            <w:r w:rsidRPr="00B45DFB">
              <w:rPr>
                <w:b/>
                <w:sz w:val="28"/>
                <w:szCs w:val="28"/>
                <w:lang w:val="en-GB"/>
              </w:rPr>
              <w:t>Profiling</w:t>
            </w:r>
            <w:r w:rsidRPr="00B45DFB">
              <w:rPr>
                <w:sz w:val="28"/>
                <w:szCs w:val="28"/>
                <w:lang w:val="en-GB"/>
              </w:rPr>
              <w:t xml:space="preserve"> is a </w:t>
            </w:r>
            <w:r w:rsidRPr="00B45DFB">
              <w:rPr>
                <w:sz w:val="28"/>
                <w:szCs w:val="28"/>
                <w:u w:val="single"/>
                <w:lang w:val="en-GB"/>
              </w:rPr>
              <w:t>method</w:t>
            </w:r>
            <w:r>
              <w:rPr>
                <w:sz w:val="28"/>
                <w:szCs w:val="28"/>
                <w:u w:val="single"/>
                <w:lang w:val="en-GB"/>
              </w:rPr>
              <w:t xml:space="preserve"> </w:t>
            </w:r>
            <w:r w:rsidRPr="00B45DFB">
              <w:rPr>
                <w:sz w:val="28"/>
                <w:szCs w:val="28"/>
                <w:lang w:val="en-GB"/>
              </w:rPr>
              <w:t>to analyse the legal, operational and accounting structure of an enterprise group at national and world level, in order to establish the statistical units within that group, their links and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B45DFB">
              <w:rPr>
                <w:sz w:val="28"/>
                <w:szCs w:val="28"/>
                <w:lang w:val="en-GB"/>
              </w:rPr>
              <w:t>the most efficient structures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Pr="00B45DFB">
              <w:rPr>
                <w:sz w:val="28"/>
                <w:szCs w:val="28"/>
                <w:lang w:val="en-GB"/>
              </w:rPr>
              <w:t>for the collection of statistical data</w:t>
            </w:r>
            <w:r w:rsidRPr="00B45DFB">
              <w:rPr>
                <w:sz w:val="26"/>
                <w:szCs w:val="26"/>
                <w:lang w:val="en-GB"/>
              </w:rPr>
              <w:t>.</w:t>
            </w:r>
          </w:p>
          <w:p w:rsidR="007F36C9" w:rsidRPr="00B45DFB" w:rsidRDefault="007F36C9" w:rsidP="00B45DFB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B45DFB">
              <w:rPr>
                <w:i/>
                <w:sz w:val="18"/>
                <w:szCs w:val="18"/>
              </w:rPr>
              <w:t xml:space="preserve">Source: BR </w:t>
            </w:r>
            <w:r w:rsidRPr="00B45DFB">
              <w:rPr>
                <w:i/>
                <w:sz w:val="18"/>
                <w:szCs w:val="18"/>
                <w:lang w:val="en-US"/>
              </w:rPr>
              <w:t>Recommendation Manual (19.9)</w:t>
            </w:r>
          </w:p>
        </w:tc>
      </w:tr>
      <w:tr w:rsidR="007F36C9" w:rsidRPr="00B45DFB" w:rsidTr="00B45DFB">
        <w:trPr>
          <w:trHeight w:val="5217"/>
        </w:trPr>
        <w:tc>
          <w:tcPr>
            <w:tcW w:w="7513" w:type="dxa"/>
            <w:vMerge/>
            <w:tcBorders>
              <w:right w:val="nil"/>
            </w:tcBorders>
          </w:tcPr>
          <w:p w:rsidR="007F36C9" w:rsidRPr="00B45DFB" w:rsidRDefault="007F36C9" w:rsidP="00B45DFB">
            <w:pPr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8080" w:type="dxa"/>
            <w:gridSpan w:val="2"/>
            <w:tcBorders>
              <w:left w:val="nil"/>
            </w:tcBorders>
          </w:tcPr>
          <w:p w:rsidR="007F36C9" w:rsidRPr="00B45DFB" w:rsidRDefault="007F36C9" w:rsidP="00B45DFB">
            <w:pPr>
              <w:spacing w:after="0" w:line="240" w:lineRule="auto"/>
              <w:rPr>
                <w:lang w:val="en-US"/>
              </w:rPr>
            </w:pPr>
          </w:p>
          <w:p w:rsidR="007F36C9" w:rsidRPr="00B45DFB" w:rsidRDefault="007F36C9" w:rsidP="00B45DFB">
            <w:pPr>
              <w:spacing w:after="0" w:line="240" w:lineRule="auto"/>
              <w:rPr>
                <w:lang w:val="en-US"/>
              </w:rPr>
            </w:pPr>
            <w:r w:rsidRPr="00B45DFB">
              <w:rPr>
                <w:lang w:val="en-US"/>
              </w:rPr>
              <w:t>Operational rules: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Characteristics of enterprise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Activity of enterprise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Identification of enterprise in case of Enterprise Group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Dividing operational segments into enterprises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Enterprises identical to Enterprise Group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Ancillary legal units/ancillary operational segments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Serving legal units/operational segments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Vertical integrated legal units/vertical integrated operating segments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Global and truncated enterprises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Truncated enterprises NACE code</w:t>
            </w:r>
          </w:p>
          <w:p w:rsidR="007F36C9" w:rsidRPr="00B45DFB" w:rsidRDefault="007F36C9" w:rsidP="00B45DFB">
            <w:pPr>
              <w:numPr>
                <w:ilvl w:val="1"/>
                <w:numId w:val="2"/>
              </w:numPr>
              <w:tabs>
                <w:tab w:val="clear" w:pos="1440"/>
                <w:tab w:val="num" w:pos="820"/>
              </w:tabs>
              <w:spacing w:after="0" w:line="240" w:lineRule="auto"/>
              <w:ind w:left="411" w:hanging="21"/>
              <w:rPr>
                <w:lang w:val="en-US"/>
              </w:rPr>
            </w:pPr>
            <w:r w:rsidRPr="00B45DFB">
              <w:rPr>
                <w:lang w:val="en-US"/>
              </w:rPr>
              <w:t>Operational rules on enterprise continuity</w:t>
            </w:r>
          </w:p>
          <w:p w:rsidR="007F36C9" w:rsidRPr="00B45DFB" w:rsidRDefault="007F36C9" w:rsidP="00B45DFB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7F36C9" w:rsidRPr="002F2549" w:rsidRDefault="007F36C9">
      <w:pPr>
        <w:rPr>
          <w:sz w:val="24"/>
          <w:szCs w:val="24"/>
          <w:lang w:val="en-GB"/>
        </w:rPr>
      </w:pPr>
      <w:r w:rsidRPr="002F2549">
        <w:rPr>
          <w:b/>
          <w:sz w:val="24"/>
          <w:szCs w:val="24"/>
          <w:lang w:val="en-GB"/>
        </w:rPr>
        <w:lastRenderedPageBreak/>
        <w:t>Statistical unit</w:t>
      </w:r>
      <w:r w:rsidRPr="002F2549">
        <w:rPr>
          <w:sz w:val="24"/>
          <w:szCs w:val="24"/>
          <w:lang w:val="en-GB"/>
        </w:rPr>
        <w:t xml:space="preserve"> – units to which statistical output (figures) related</w:t>
      </w:r>
    </w:p>
    <w:p w:rsidR="007F36C9" w:rsidRPr="002F2549" w:rsidRDefault="007F36C9">
      <w:pPr>
        <w:rPr>
          <w:sz w:val="24"/>
          <w:szCs w:val="24"/>
          <w:lang w:val="en-GB"/>
        </w:rPr>
      </w:pPr>
      <w:r w:rsidRPr="002F2549">
        <w:rPr>
          <w:b/>
          <w:sz w:val="24"/>
          <w:szCs w:val="24"/>
          <w:lang w:val="en-GB"/>
        </w:rPr>
        <w:t>Observational unit</w:t>
      </w:r>
      <w:r w:rsidRPr="002F2549">
        <w:rPr>
          <w:sz w:val="24"/>
          <w:szCs w:val="24"/>
          <w:lang w:val="en-GB"/>
        </w:rPr>
        <w:t xml:space="preserve"> – units for which data are or can be collected</w:t>
      </w:r>
    </w:p>
    <w:p w:rsidR="007F36C9" w:rsidRDefault="007F36C9">
      <w:pPr>
        <w:rPr>
          <w:sz w:val="24"/>
          <w:szCs w:val="24"/>
          <w:lang w:val="en-GB"/>
        </w:rPr>
      </w:pPr>
      <w:r w:rsidRPr="002F2549">
        <w:rPr>
          <w:b/>
          <w:sz w:val="24"/>
          <w:szCs w:val="24"/>
          <w:lang w:val="en-GB"/>
        </w:rPr>
        <w:t>Report</w:t>
      </w:r>
      <w:r>
        <w:rPr>
          <w:b/>
          <w:sz w:val="24"/>
          <w:szCs w:val="24"/>
          <w:lang w:val="en-GB"/>
        </w:rPr>
        <w:t>i</w:t>
      </w:r>
      <w:r w:rsidRPr="002F2549">
        <w:rPr>
          <w:b/>
          <w:sz w:val="24"/>
          <w:szCs w:val="24"/>
          <w:lang w:val="en-GB"/>
        </w:rPr>
        <w:t>ng unit</w:t>
      </w:r>
      <w:r w:rsidRPr="002F2549">
        <w:rPr>
          <w:sz w:val="24"/>
          <w:szCs w:val="24"/>
          <w:lang w:val="en-GB"/>
        </w:rPr>
        <w:t xml:space="preserve"> – units which are doing the concrete reporting</w:t>
      </w:r>
    </w:p>
    <w:p w:rsidR="007F36C9" w:rsidRDefault="007F36C9">
      <w:pPr>
        <w:rPr>
          <w:sz w:val="24"/>
          <w:szCs w:val="24"/>
          <w:lang w:val="en-GB"/>
        </w:rPr>
      </w:pPr>
    </w:p>
    <w:p w:rsidR="007F36C9" w:rsidRPr="00B57500" w:rsidRDefault="007F36C9">
      <w:pPr>
        <w:rPr>
          <w:color w:val="FF0000"/>
          <w:sz w:val="24"/>
          <w:szCs w:val="24"/>
          <w:lang w:val="en-GB"/>
        </w:rPr>
      </w:pPr>
      <w:bookmarkStart w:id="0" w:name="_GoBack"/>
      <w:bookmarkEnd w:id="0"/>
    </w:p>
    <w:p w:rsidR="007F36C9" w:rsidRPr="002F2549" w:rsidRDefault="007F36C9">
      <w:pPr>
        <w:rPr>
          <w:sz w:val="24"/>
          <w:szCs w:val="24"/>
        </w:rPr>
      </w:pPr>
    </w:p>
    <w:sectPr w:rsidR="007F36C9" w:rsidRPr="002F2549" w:rsidSect="006C6520"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D7" w:rsidRDefault="00A612D7" w:rsidP="003B78BB">
      <w:pPr>
        <w:spacing w:after="0" w:line="240" w:lineRule="auto"/>
      </w:pPr>
      <w:r>
        <w:separator/>
      </w:r>
    </w:p>
  </w:endnote>
  <w:endnote w:type="continuationSeparator" w:id="0">
    <w:p w:rsidR="00A612D7" w:rsidRDefault="00A612D7" w:rsidP="003B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D7" w:rsidRDefault="00A612D7" w:rsidP="003B78BB">
      <w:pPr>
        <w:spacing w:after="0" w:line="240" w:lineRule="auto"/>
      </w:pPr>
      <w:r>
        <w:separator/>
      </w:r>
    </w:p>
  </w:footnote>
  <w:footnote w:type="continuationSeparator" w:id="0">
    <w:p w:rsidR="00A612D7" w:rsidRDefault="00A612D7" w:rsidP="003B7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4D5"/>
    <w:multiLevelType w:val="hybridMultilevel"/>
    <w:tmpl w:val="F2228E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001A68"/>
    <w:multiLevelType w:val="hybridMultilevel"/>
    <w:tmpl w:val="9E00EA1E"/>
    <w:lvl w:ilvl="0" w:tplc="2C48141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882D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ACE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4AD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3A7D1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1476F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C2BA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349B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F0EBC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047B09"/>
    <w:multiLevelType w:val="hybridMultilevel"/>
    <w:tmpl w:val="D346CC2C"/>
    <w:lvl w:ilvl="0" w:tplc="4D066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8D1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223D0">
      <w:start w:val="1389"/>
      <w:numFmt w:val="bullet"/>
      <w:lvlText w:val="⁻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AB2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6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25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4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48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03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14C4E2B"/>
    <w:multiLevelType w:val="hybridMultilevel"/>
    <w:tmpl w:val="336C1766"/>
    <w:lvl w:ilvl="0" w:tplc="BFD877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55567"/>
    <w:multiLevelType w:val="hybridMultilevel"/>
    <w:tmpl w:val="337C8F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424B9C"/>
    <w:multiLevelType w:val="hybridMultilevel"/>
    <w:tmpl w:val="A522A4B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AD6"/>
    <w:rsid w:val="000E619C"/>
    <w:rsid w:val="00192CCF"/>
    <w:rsid w:val="002F2549"/>
    <w:rsid w:val="002F6141"/>
    <w:rsid w:val="003B78BB"/>
    <w:rsid w:val="00464D19"/>
    <w:rsid w:val="004F4401"/>
    <w:rsid w:val="006C6520"/>
    <w:rsid w:val="007F36C9"/>
    <w:rsid w:val="00A07CA3"/>
    <w:rsid w:val="00A612D7"/>
    <w:rsid w:val="00AE6F89"/>
    <w:rsid w:val="00B20F33"/>
    <w:rsid w:val="00B274FA"/>
    <w:rsid w:val="00B45DFB"/>
    <w:rsid w:val="00B57500"/>
    <w:rsid w:val="00C17615"/>
    <w:rsid w:val="00C54AD6"/>
    <w:rsid w:val="00E23CE7"/>
    <w:rsid w:val="00E67912"/>
    <w:rsid w:val="00ED595F"/>
    <w:rsid w:val="00FA10F9"/>
    <w:rsid w:val="00FD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01"/>
    <w:pPr>
      <w:spacing w:after="200" w:line="276" w:lineRule="auto"/>
    </w:pPr>
    <w:rPr>
      <w:sz w:val="22"/>
      <w:szCs w:val="22"/>
      <w:lang w:val="lv-LV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99"/>
    <w:rsid w:val="00C5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99"/>
    <w:qFormat/>
    <w:rsid w:val="00B20F3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rsid w:val="003B7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locked/>
    <w:rsid w:val="003B78BB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3B7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locked/>
    <w:rsid w:val="003B78B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94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1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4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1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12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336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SProle</dc:creator>
  <cp:keywords/>
  <dc:description/>
  <cp:lastModifiedBy>Movebar</cp:lastModifiedBy>
  <cp:revision>9</cp:revision>
  <dcterms:created xsi:type="dcterms:W3CDTF">2014-05-21T16:15:00Z</dcterms:created>
  <dcterms:modified xsi:type="dcterms:W3CDTF">2014-09-26T10:23:00Z</dcterms:modified>
</cp:coreProperties>
</file>