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3D" w:rsidRDefault="001D023D" w:rsidP="00CB621E">
      <w:pPr>
        <w:rPr>
          <w:rStyle w:val="jlqj4b"/>
          <w:b/>
          <w:sz w:val="42"/>
          <w:szCs w:val="42"/>
          <w:lang w:val="en-GB"/>
          <w14:textOutline w14:w="9525" w14:cap="rnd" w14:cmpd="sng" w14:algn="ctr">
            <w14:solidFill>
              <w14:schemeClr w14:val="accent1"/>
            </w14:solidFill>
            <w14:prstDash w14:val="solid"/>
            <w14:bevel/>
          </w14:textOutline>
        </w:rPr>
      </w:pPr>
      <w:r>
        <w:rPr>
          <w:rStyle w:val="jlqj4b"/>
          <w:b/>
          <w:sz w:val="42"/>
          <w:szCs w:val="42"/>
          <w:lang w:val="en-GB"/>
          <w14:textOutline w14:w="9525" w14:cap="rnd" w14:cmpd="sng" w14:algn="ctr">
            <w14:solidFill>
              <w14:schemeClr w14:val="accent1"/>
            </w14:solidFill>
            <w14:prstDash w14:val="solid"/>
            <w14:bevel/>
          </w14:textOutline>
        </w:rPr>
        <w:t>Covered income components in EU-SILC and HIES</w:t>
      </w:r>
    </w:p>
    <w:p w:rsidR="001D023D" w:rsidRPr="00D47316" w:rsidRDefault="001D023D" w:rsidP="001D023D">
      <w:pPr>
        <w:jc w:val="both"/>
        <w:rPr>
          <w:b/>
          <w:sz w:val="26"/>
          <w:szCs w:val="26"/>
          <w:lang w:val="en-GB"/>
        </w:rPr>
      </w:pPr>
      <w:r w:rsidRPr="00D47316">
        <w:rPr>
          <w:b/>
          <w:sz w:val="26"/>
          <w:szCs w:val="26"/>
          <w:lang w:val="en-GB"/>
        </w:rPr>
        <w:t>EU-SILC</w:t>
      </w:r>
    </w:p>
    <w:p w:rsidR="001D023D" w:rsidRDefault="001D023D" w:rsidP="001D023D">
      <w:pPr>
        <w:jc w:val="both"/>
        <w:rPr>
          <w:rFonts w:eastAsiaTheme="minorEastAsia"/>
          <w:sz w:val="24"/>
          <w:szCs w:val="24"/>
          <w:lang w:val="en-GB"/>
        </w:rPr>
      </w:pPr>
      <w:r>
        <w:rPr>
          <w:sz w:val="24"/>
          <w:szCs w:val="24"/>
          <w:lang w:val="en-GB"/>
        </w:rPr>
        <w:t>According to E</w:t>
      </w:r>
      <w:r w:rsidRPr="003773ED">
        <w:rPr>
          <w:sz w:val="24"/>
          <w:szCs w:val="24"/>
          <w:lang w:val="en-GB"/>
        </w:rPr>
        <w:t xml:space="preserve">U-SILC definition, the </w:t>
      </w:r>
      <w:r>
        <w:rPr>
          <w:sz w:val="24"/>
          <w:szCs w:val="24"/>
          <w:lang w:val="en-GB"/>
        </w:rPr>
        <w:t xml:space="preserve">key variable </w:t>
      </w:r>
      <w:r w:rsidRPr="00FF55A2">
        <w:rPr>
          <w:b/>
          <w:sz w:val="24"/>
          <w:szCs w:val="24"/>
          <w:lang w:val="en-GB"/>
        </w:rPr>
        <w:t>Total disposable household income</w:t>
      </w:r>
      <w:r w:rsidRPr="003773ED">
        <w:rPr>
          <w:sz w:val="24"/>
          <w:szCs w:val="24"/>
          <w:lang w:val="en-GB"/>
        </w:rPr>
        <w:t xml:space="preserve"> </w:t>
      </w:r>
      <w:r w:rsidRPr="00FF55A2">
        <w:rPr>
          <w:sz w:val="24"/>
          <w:szCs w:val="24"/>
          <w:lang w:val="en-GB"/>
        </w:rPr>
        <w:t xml:space="preserve">(HY020) </w:t>
      </w:r>
      <w:r>
        <w:rPr>
          <w:sz w:val="24"/>
          <w:szCs w:val="24"/>
          <w:lang w:val="en-GB"/>
        </w:rPr>
        <w:t xml:space="preserve">is the sum of gross </w:t>
      </w:r>
      <w:r w:rsidRPr="00AB17B8">
        <w:rPr>
          <w:sz w:val="24"/>
          <w:szCs w:val="24"/>
          <w:u w:val="single"/>
          <w:lang w:val="en-GB"/>
        </w:rPr>
        <w:t>personal income</w:t>
      </w:r>
      <w:r>
        <w:rPr>
          <w:sz w:val="24"/>
          <w:szCs w:val="24"/>
          <w:lang w:val="en-GB"/>
        </w:rPr>
        <w:t xml:space="preserve"> components of all household members</w:t>
      </w:r>
      <w:r w:rsidR="00A43EFC">
        <w:rPr>
          <w:sz w:val="24"/>
          <w:szCs w:val="24"/>
          <w:lang w:val="en-GB"/>
        </w:rPr>
        <w:t xml:space="preserve">, </w:t>
      </w:r>
      <w:r>
        <w:rPr>
          <w:sz w:val="24"/>
          <w:szCs w:val="24"/>
          <w:lang w:val="en-GB"/>
        </w:rPr>
        <w:t>which</w:t>
      </w:r>
      <w:r w:rsidR="00A43EFC">
        <w:rPr>
          <w:sz w:val="24"/>
          <w:szCs w:val="24"/>
          <w:lang w:val="en-GB"/>
        </w:rPr>
        <w:t xml:space="preserve"> </w:t>
      </w:r>
      <w:r>
        <w:rPr>
          <w:sz w:val="24"/>
          <w:szCs w:val="24"/>
          <w:lang w:val="en-GB"/>
        </w:rPr>
        <w:t>co</w:t>
      </w:r>
      <w:r w:rsidRPr="003773ED">
        <w:rPr>
          <w:sz w:val="24"/>
          <w:szCs w:val="24"/>
          <w:lang w:val="en-GB"/>
        </w:rPr>
        <w:t>nsists</w:t>
      </w:r>
      <w:r w:rsidR="00A43EFC">
        <w:rPr>
          <w:sz w:val="24"/>
          <w:szCs w:val="24"/>
          <w:lang w:val="en-GB"/>
        </w:rPr>
        <w:t xml:space="preserve"> </w:t>
      </w:r>
      <w:r w:rsidRPr="003773ED">
        <w:rPr>
          <w:sz w:val="24"/>
          <w:szCs w:val="24"/>
          <w:lang w:val="en-GB"/>
        </w:rPr>
        <w:t>of</w:t>
      </w:r>
      <w:r w:rsidR="00A43EFC">
        <w:rPr>
          <w:sz w:val="24"/>
          <w:szCs w:val="24"/>
          <w:lang w:val="en-GB"/>
        </w:rPr>
        <w:t xml:space="preserve"> variables </w:t>
      </w:r>
      <w:r w:rsidR="005A35FF">
        <w:rPr>
          <w:sz w:val="24"/>
          <w:szCs w:val="24"/>
          <w:lang w:val="en-GB"/>
        </w:rPr>
        <w:t>PYxx</w:t>
      </w:r>
      <w:r w:rsidR="00A43EFC">
        <w:rPr>
          <w:sz w:val="24"/>
          <w:szCs w:val="24"/>
          <w:lang w:val="en-GB"/>
        </w:rPr>
        <w:t xml:space="preserve"> (see the table below), </w:t>
      </w:r>
      <w:r w:rsidRPr="00AB17B8">
        <w:rPr>
          <w:rFonts w:eastAsiaTheme="minorEastAsia"/>
          <w:b/>
          <w:sz w:val="24"/>
          <w:szCs w:val="24"/>
          <w:lang w:val="en-GB"/>
        </w:rPr>
        <w:t>PLUS</w:t>
      </w:r>
      <w:r w:rsidRPr="00FF55A2">
        <w:rPr>
          <w:rFonts w:eastAsiaTheme="minorEastAsia"/>
          <w:sz w:val="24"/>
          <w:szCs w:val="24"/>
          <w:lang w:val="en-GB"/>
        </w:rPr>
        <w:t xml:space="preserve"> gross income components </w:t>
      </w:r>
      <w:r w:rsidRPr="00AB17B8">
        <w:rPr>
          <w:rFonts w:eastAsiaTheme="minorEastAsia"/>
          <w:sz w:val="24"/>
          <w:szCs w:val="24"/>
          <w:u w:val="single"/>
          <w:lang w:val="en-GB"/>
        </w:rPr>
        <w:t>at household level</w:t>
      </w:r>
      <w:r w:rsidR="005A35FF">
        <w:rPr>
          <w:rFonts w:eastAsiaTheme="minorEastAsia"/>
          <w:sz w:val="24"/>
          <w:szCs w:val="24"/>
          <w:lang w:val="en-GB"/>
        </w:rPr>
        <w:t xml:space="preserve">, </w:t>
      </w:r>
      <w:r>
        <w:rPr>
          <w:sz w:val="24"/>
          <w:szCs w:val="24"/>
          <w:lang w:val="en-GB"/>
        </w:rPr>
        <w:t>which co</w:t>
      </w:r>
      <w:r w:rsidRPr="003773ED">
        <w:rPr>
          <w:sz w:val="24"/>
          <w:szCs w:val="24"/>
          <w:lang w:val="en-GB"/>
        </w:rPr>
        <w:t>nsists</w:t>
      </w:r>
      <w:r>
        <w:rPr>
          <w:sz w:val="24"/>
          <w:szCs w:val="24"/>
          <w:lang w:val="en-GB"/>
        </w:rPr>
        <w:t> </w:t>
      </w:r>
      <w:r w:rsidRPr="003773ED">
        <w:rPr>
          <w:sz w:val="24"/>
          <w:szCs w:val="24"/>
          <w:lang w:val="en-GB"/>
        </w:rPr>
        <w:t>of</w:t>
      </w:r>
      <w:r>
        <w:rPr>
          <w:sz w:val="24"/>
          <w:szCs w:val="24"/>
          <w:lang w:val="en-GB"/>
        </w:rPr>
        <w:t xml:space="preserve"> </w:t>
      </w:r>
      <w:r w:rsidR="005A35FF">
        <w:rPr>
          <w:sz w:val="24"/>
          <w:szCs w:val="24"/>
          <w:lang w:val="en-GB"/>
        </w:rPr>
        <w:t>variables HY</w:t>
      </w:r>
      <w:r w:rsidR="007F3DFD">
        <w:rPr>
          <w:sz w:val="24"/>
          <w:szCs w:val="24"/>
          <w:lang w:val="en-GB"/>
        </w:rPr>
        <w:t>040-HY110</w:t>
      </w:r>
      <w:r w:rsidR="005A35FF">
        <w:rPr>
          <w:sz w:val="24"/>
          <w:szCs w:val="24"/>
          <w:lang w:val="en-GB"/>
        </w:rPr>
        <w:t xml:space="preserve"> </w:t>
      </w:r>
      <w:r w:rsidRPr="00AB17B8">
        <w:rPr>
          <w:rFonts w:eastAsiaTheme="minorEastAsia"/>
          <w:sz w:val="24"/>
          <w:szCs w:val="24"/>
          <w:lang w:val="en-GB"/>
        </w:rPr>
        <w:t xml:space="preserve">– </w:t>
      </w:r>
      <w:r w:rsidRPr="00AB17B8">
        <w:rPr>
          <w:rFonts w:eastAsiaTheme="minorEastAsia"/>
          <w:b/>
          <w:sz w:val="24"/>
          <w:szCs w:val="24"/>
          <w:lang w:val="en-GB"/>
        </w:rPr>
        <w:t>MINUS</w:t>
      </w:r>
      <w:r>
        <w:rPr>
          <w:rFonts w:eastAsiaTheme="minorEastAsia"/>
          <w:b/>
          <w:sz w:val="24"/>
          <w:szCs w:val="24"/>
          <w:lang w:val="en-GB"/>
        </w:rPr>
        <w:t xml:space="preserve"> </w:t>
      </w:r>
      <w:r w:rsidRPr="00AB17B8">
        <w:rPr>
          <w:rFonts w:eastAsiaTheme="minorEastAsia"/>
          <w:sz w:val="24"/>
          <w:szCs w:val="24"/>
          <w:lang w:val="en-GB"/>
        </w:rPr>
        <w:t xml:space="preserve">taxes </w:t>
      </w:r>
      <w:r w:rsidR="005A35FF">
        <w:rPr>
          <w:rFonts w:eastAsiaTheme="minorEastAsia"/>
          <w:sz w:val="24"/>
          <w:szCs w:val="24"/>
          <w:lang w:val="en-GB"/>
        </w:rPr>
        <w:t xml:space="preserve">and </w:t>
      </w:r>
      <w:r w:rsidRPr="00AB17B8">
        <w:rPr>
          <w:rFonts w:eastAsiaTheme="minorEastAsia"/>
          <w:sz w:val="24"/>
          <w:szCs w:val="24"/>
          <w:lang w:val="en-GB"/>
        </w:rPr>
        <w:t>transfer</w:t>
      </w:r>
      <w:r w:rsidR="005A35FF">
        <w:rPr>
          <w:rFonts w:eastAsiaTheme="minorEastAsia"/>
          <w:sz w:val="24"/>
          <w:szCs w:val="24"/>
          <w:lang w:val="en-GB"/>
        </w:rPr>
        <w:t>s</w:t>
      </w:r>
      <w:r w:rsidRPr="00AB17B8">
        <w:rPr>
          <w:rFonts w:eastAsiaTheme="minorEastAsia"/>
          <w:sz w:val="24"/>
          <w:szCs w:val="24"/>
          <w:lang w:val="en-GB"/>
        </w:rPr>
        <w:t xml:space="preserve"> paid (HY</w:t>
      </w:r>
      <w:r w:rsidR="005A35FF">
        <w:rPr>
          <w:rFonts w:eastAsiaTheme="minorEastAsia"/>
          <w:sz w:val="24"/>
          <w:szCs w:val="24"/>
          <w:lang w:val="en-GB"/>
        </w:rPr>
        <w:t>120,</w:t>
      </w:r>
      <w:r w:rsidRPr="00AB17B8">
        <w:rPr>
          <w:rFonts w:eastAsiaTheme="minorEastAsia"/>
          <w:sz w:val="24"/>
          <w:szCs w:val="24"/>
          <w:lang w:val="en-GB"/>
        </w:rPr>
        <w:t>130</w:t>
      </w:r>
      <w:r w:rsidR="005A35FF">
        <w:rPr>
          <w:rFonts w:eastAsiaTheme="minorEastAsia"/>
          <w:sz w:val="24"/>
          <w:szCs w:val="24"/>
          <w:lang w:val="en-GB"/>
        </w:rPr>
        <w:t>,140</w:t>
      </w:r>
      <w:r w:rsidRPr="00AB17B8">
        <w:rPr>
          <w:rFonts w:eastAsiaTheme="minorEastAsia"/>
          <w:sz w:val="24"/>
          <w:szCs w:val="24"/>
          <w:lang w:val="en-GB"/>
        </w:rPr>
        <w:t>)</w:t>
      </w:r>
      <w:r w:rsidR="005A35FF">
        <w:rPr>
          <w:rFonts w:eastAsiaTheme="minorEastAsia"/>
          <w:sz w:val="24"/>
          <w:szCs w:val="24"/>
          <w:lang w:val="en-GB"/>
        </w:rPr>
        <w:t>.</w:t>
      </w:r>
    </w:p>
    <w:p w:rsidR="00374C03" w:rsidRDefault="00374C03" w:rsidP="00381415">
      <w:pPr>
        <w:spacing w:after="0" w:line="240" w:lineRule="auto"/>
        <w:jc w:val="both"/>
        <w:rPr>
          <w:rFonts w:eastAsiaTheme="minorEastAsia"/>
          <w:sz w:val="24"/>
          <w:szCs w:val="24"/>
          <w:lang w:val="en-GB"/>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93"/>
        <w:gridCol w:w="744"/>
      </w:tblGrid>
      <w:tr w:rsidR="006D25D6" w:rsidRPr="006D25D6" w:rsidTr="005A35FF">
        <w:trPr>
          <w:trHeight w:hRule="exact" w:val="312"/>
          <w:jc w:val="center"/>
        </w:trPr>
        <w:tc>
          <w:tcPr>
            <w:tcW w:w="5493" w:type="dxa"/>
            <w:shd w:val="clear" w:color="auto" w:fill="BDD6EE" w:themeFill="accent1" w:themeFillTint="66"/>
            <w:noWrap/>
            <w:vAlign w:val="bottom"/>
            <w:hideMark/>
          </w:tcPr>
          <w:p w:rsidR="006D25D6" w:rsidRPr="006D25D6" w:rsidRDefault="006D25D6" w:rsidP="0084665E">
            <w:pPr>
              <w:spacing w:after="0" w:line="240" w:lineRule="auto"/>
              <w:rPr>
                <w:rFonts w:eastAsia="Times New Roman" w:cstheme="minorHAnsi"/>
                <w:bCs/>
                <w:i/>
                <w:lang w:val="en-GB" w:eastAsia="cs-CZ"/>
              </w:rPr>
            </w:pPr>
            <w:r w:rsidRPr="006D25D6">
              <w:rPr>
                <w:rFonts w:eastAsia="Times New Roman" w:cstheme="minorHAnsi"/>
                <w:bCs/>
                <w:i/>
                <w:lang w:val="en-GB" w:eastAsia="cs-CZ"/>
              </w:rPr>
              <w:t>N</w:t>
            </w:r>
            <w:r w:rsidR="0084665E" w:rsidRPr="00BF670A">
              <w:rPr>
                <w:rFonts w:eastAsia="Times New Roman" w:cstheme="minorHAnsi"/>
                <w:bCs/>
                <w:i/>
                <w:lang w:val="en-GB" w:eastAsia="cs-CZ"/>
              </w:rPr>
              <w:t xml:space="preserve">ame of </w:t>
            </w:r>
            <w:r w:rsidRPr="006D25D6">
              <w:rPr>
                <w:rFonts w:eastAsia="Times New Roman" w:cstheme="minorHAnsi"/>
                <w:bCs/>
                <w:i/>
                <w:lang w:val="en-GB" w:eastAsia="cs-CZ"/>
              </w:rPr>
              <w:t>EU</w:t>
            </w:r>
            <w:r w:rsidR="0084665E" w:rsidRPr="00BF670A">
              <w:rPr>
                <w:rFonts w:eastAsia="Times New Roman" w:cstheme="minorHAnsi"/>
                <w:bCs/>
                <w:i/>
                <w:lang w:val="en-GB" w:eastAsia="cs-CZ"/>
              </w:rPr>
              <w:t xml:space="preserve"> income variable</w:t>
            </w:r>
          </w:p>
        </w:tc>
        <w:tc>
          <w:tcPr>
            <w:tcW w:w="744" w:type="dxa"/>
            <w:shd w:val="clear" w:color="auto" w:fill="BDD6EE" w:themeFill="accent1" w:themeFillTint="66"/>
            <w:noWrap/>
            <w:vAlign w:val="bottom"/>
            <w:hideMark/>
          </w:tcPr>
          <w:p w:rsidR="006D25D6" w:rsidRPr="006D25D6" w:rsidRDefault="006D25D6" w:rsidP="006D25D6">
            <w:pPr>
              <w:spacing w:after="0" w:line="240" w:lineRule="auto"/>
              <w:rPr>
                <w:rFonts w:eastAsia="Times New Roman" w:cstheme="minorHAnsi"/>
                <w:color w:val="000000"/>
                <w:lang w:val="en-GB" w:eastAsia="cs-CZ"/>
              </w:rPr>
            </w:pPr>
          </w:p>
        </w:tc>
      </w:tr>
      <w:tr w:rsidR="006D25D6" w:rsidRPr="006D25D6" w:rsidTr="005A35FF">
        <w:trPr>
          <w:trHeight w:hRule="exact" w:val="312"/>
          <w:jc w:val="center"/>
        </w:trPr>
        <w:tc>
          <w:tcPr>
            <w:tcW w:w="5493" w:type="dxa"/>
            <w:shd w:val="clear" w:color="auto" w:fill="auto"/>
            <w:vAlign w:val="bottom"/>
            <w:hideMark/>
          </w:tcPr>
          <w:p w:rsidR="006D25D6" w:rsidRPr="006D25D6" w:rsidRDefault="006D25D6" w:rsidP="00BF670A">
            <w:pPr>
              <w:spacing w:after="0" w:line="240" w:lineRule="auto"/>
              <w:rPr>
                <w:rFonts w:eastAsia="Times New Roman" w:cstheme="minorHAnsi"/>
                <w:b/>
                <w:bCs/>
                <w:lang w:val="en-GB" w:eastAsia="cs-CZ"/>
              </w:rPr>
            </w:pPr>
            <w:r w:rsidRPr="006D25D6">
              <w:rPr>
                <w:rFonts w:eastAsia="Times New Roman" w:cstheme="minorHAnsi"/>
                <w:b/>
                <w:bCs/>
                <w:lang w:val="en-GB" w:eastAsia="cs-CZ"/>
              </w:rPr>
              <w:t xml:space="preserve">A. </w:t>
            </w:r>
            <w:r w:rsidR="00CB7153" w:rsidRPr="0084665E">
              <w:rPr>
                <w:rFonts w:eastAsia="Times New Roman" w:cstheme="minorHAnsi"/>
                <w:b/>
                <w:bCs/>
                <w:lang w:val="en-GB" w:eastAsia="cs-CZ"/>
              </w:rPr>
              <w:t xml:space="preserve"> </w:t>
            </w:r>
            <w:r w:rsidRPr="006D25D6">
              <w:rPr>
                <w:rFonts w:eastAsia="Times New Roman" w:cstheme="minorHAnsi"/>
                <w:b/>
                <w:bCs/>
                <w:lang w:val="en-GB" w:eastAsia="cs-CZ"/>
              </w:rPr>
              <w:t>Total household gross income</w:t>
            </w:r>
            <w:r w:rsidRPr="0084665E">
              <w:rPr>
                <w:rFonts w:eastAsia="Times New Roman" w:cstheme="minorHAnsi"/>
                <w:b/>
                <w:bCs/>
                <w:lang w:val="en-GB" w:eastAsia="cs-CZ"/>
              </w:rPr>
              <w:t xml:space="preserve"> </w:t>
            </w:r>
            <w:r w:rsidR="00BF670A">
              <w:rPr>
                <w:rFonts w:eastAsia="Times New Roman" w:cstheme="minorHAnsi"/>
                <w:b/>
                <w:bCs/>
                <w:lang w:val="en-GB" w:eastAsia="cs-CZ"/>
              </w:rPr>
              <w:t xml:space="preserve">              </w:t>
            </w:r>
            <w:r w:rsidR="00BF670A" w:rsidRPr="00BF670A">
              <w:rPr>
                <w:rFonts w:eastAsia="Times New Roman" w:cstheme="minorHAnsi"/>
                <w:bCs/>
                <w:lang w:val="en-GB" w:eastAsia="cs-CZ"/>
              </w:rPr>
              <w:t>(</w:t>
            </w:r>
            <w:r w:rsidR="00BF670A">
              <w:rPr>
                <w:rFonts w:eastAsia="Times New Roman" w:cstheme="minorHAnsi"/>
                <w:bCs/>
                <w:lang w:val="en-GB" w:eastAsia="cs-CZ"/>
              </w:rPr>
              <w:t>A</w:t>
            </w:r>
            <w:r w:rsidR="00BF670A" w:rsidRPr="00BF670A">
              <w:rPr>
                <w:rFonts w:eastAsia="Times New Roman" w:cstheme="minorHAnsi"/>
                <w:bCs/>
                <w:lang w:val="en-GB" w:eastAsia="cs-CZ"/>
              </w:rPr>
              <w:t xml:space="preserve"> = </w:t>
            </w:r>
            <w:r w:rsidR="00BF670A">
              <w:rPr>
                <w:rFonts w:eastAsia="Times New Roman" w:cstheme="minorHAnsi"/>
                <w:bCs/>
                <w:lang w:val="en-GB" w:eastAsia="cs-CZ"/>
              </w:rPr>
              <w:t>1 + 2 + 3 + 4</w:t>
            </w:r>
            <w:r w:rsidR="00BF670A" w:rsidRPr="006D25D6">
              <w:rPr>
                <w:rFonts w:eastAsia="Times New Roman" w:cstheme="minorHAnsi"/>
                <w:bCs/>
                <w:lang w:val="en-GB" w:eastAsia="cs-CZ"/>
              </w:rPr>
              <w:t>)</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HY010</w:t>
            </w:r>
          </w:p>
        </w:tc>
      </w:tr>
      <w:tr w:rsidR="006D25D6" w:rsidRPr="006D25D6" w:rsidTr="005A35FF">
        <w:trPr>
          <w:trHeight w:hRule="exact" w:val="312"/>
          <w:jc w:val="center"/>
        </w:trPr>
        <w:tc>
          <w:tcPr>
            <w:tcW w:w="5493" w:type="dxa"/>
            <w:shd w:val="clear" w:color="auto" w:fill="auto"/>
            <w:noWrap/>
            <w:vAlign w:val="bottom"/>
            <w:hideMark/>
          </w:tcPr>
          <w:p w:rsidR="006D25D6" w:rsidRPr="006D25D6" w:rsidRDefault="006D25D6" w:rsidP="006D25D6">
            <w:pPr>
              <w:spacing w:after="0" w:line="240" w:lineRule="auto"/>
              <w:rPr>
                <w:rFonts w:eastAsia="Times New Roman" w:cstheme="minorHAnsi"/>
                <w:lang w:val="en-GB" w:eastAsia="cs-CZ"/>
              </w:rPr>
            </w:pPr>
            <w:r w:rsidRPr="006D25D6">
              <w:rPr>
                <w:rFonts w:eastAsia="Times New Roman" w:cstheme="minorHAnsi"/>
                <w:lang w:val="en-GB" w:eastAsia="cs-CZ"/>
              </w:rPr>
              <w:t xml:space="preserve">B. </w:t>
            </w:r>
            <w:r w:rsidR="00CB7153" w:rsidRPr="0084665E">
              <w:rPr>
                <w:rFonts w:eastAsia="Times New Roman" w:cstheme="minorHAnsi"/>
                <w:lang w:val="en-GB" w:eastAsia="cs-CZ"/>
              </w:rPr>
              <w:t xml:space="preserve"> </w:t>
            </w:r>
            <w:r w:rsidRPr="006D25D6">
              <w:rPr>
                <w:rFonts w:eastAsia="Times New Roman" w:cstheme="minorHAnsi"/>
                <w:lang w:val="en-GB" w:eastAsia="cs-CZ"/>
              </w:rPr>
              <w:t>Tax on income and social contributions</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HY140</w:t>
            </w:r>
          </w:p>
        </w:tc>
      </w:tr>
      <w:tr w:rsidR="006D25D6" w:rsidRPr="006D25D6" w:rsidTr="005A35FF">
        <w:trPr>
          <w:trHeight w:hRule="exact" w:val="312"/>
          <w:jc w:val="center"/>
        </w:trPr>
        <w:tc>
          <w:tcPr>
            <w:tcW w:w="5493" w:type="dxa"/>
            <w:shd w:val="clear" w:color="auto" w:fill="auto"/>
            <w:noWrap/>
            <w:vAlign w:val="bottom"/>
            <w:hideMark/>
          </w:tcPr>
          <w:p w:rsidR="006D25D6" w:rsidRPr="006D25D6" w:rsidRDefault="006D25D6" w:rsidP="006D25D6">
            <w:pPr>
              <w:spacing w:after="0" w:line="240" w:lineRule="auto"/>
              <w:rPr>
                <w:rFonts w:eastAsia="Times New Roman" w:cstheme="minorHAnsi"/>
                <w:lang w:val="en-GB" w:eastAsia="cs-CZ"/>
              </w:rPr>
            </w:pPr>
            <w:r w:rsidRPr="006D25D6">
              <w:rPr>
                <w:rFonts w:eastAsia="Times New Roman" w:cstheme="minorHAnsi"/>
                <w:lang w:val="en-GB" w:eastAsia="cs-CZ"/>
              </w:rPr>
              <w:t xml:space="preserve">C. </w:t>
            </w:r>
            <w:r w:rsidR="00CB7153" w:rsidRPr="0084665E">
              <w:rPr>
                <w:rFonts w:eastAsia="Times New Roman" w:cstheme="minorHAnsi"/>
                <w:lang w:val="en-GB" w:eastAsia="cs-CZ"/>
              </w:rPr>
              <w:t xml:space="preserve"> </w:t>
            </w:r>
            <w:r w:rsidRPr="006D25D6">
              <w:rPr>
                <w:rFonts w:eastAsia="Times New Roman" w:cstheme="minorHAnsi"/>
                <w:lang w:val="en-GB" w:eastAsia="cs-CZ"/>
              </w:rPr>
              <w:t>Regular taxes on wealth</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HY120</w:t>
            </w:r>
          </w:p>
        </w:tc>
      </w:tr>
      <w:tr w:rsidR="006D25D6" w:rsidRPr="006D25D6" w:rsidTr="005A35FF">
        <w:trPr>
          <w:trHeight w:hRule="exact" w:val="312"/>
          <w:jc w:val="center"/>
        </w:trPr>
        <w:tc>
          <w:tcPr>
            <w:tcW w:w="5493" w:type="dxa"/>
            <w:tcBorders>
              <w:bottom w:val="single" w:sz="4" w:space="0" w:color="auto"/>
            </w:tcBorders>
            <w:shd w:val="clear" w:color="auto" w:fill="auto"/>
            <w:noWrap/>
            <w:vAlign w:val="bottom"/>
            <w:hideMark/>
          </w:tcPr>
          <w:p w:rsidR="006D25D6" w:rsidRPr="006D25D6" w:rsidRDefault="006D25D6" w:rsidP="006D25D6">
            <w:pPr>
              <w:spacing w:after="0" w:line="240" w:lineRule="auto"/>
              <w:rPr>
                <w:rFonts w:eastAsia="Times New Roman" w:cstheme="minorHAnsi"/>
                <w:lang w:val="en-GB" w:eastAsia="cs-CZ"/>
              </w:rPr>
            </w:pPr>
            <w:r w:rsidRPr="006D25D6">
              <w:rPr>
                <w:rFonts w:eastAsia="Times New Roman" w:cstheme="minorHAnsi"/>
                <w:lang w:val="en-GB" w:eastAsia="cs-CZ"/>
              </w:rPr>
              <w:t xml:space="preserve">D. </w:t>
            </w:r>
            <w:r w:rsidR="00CB7153" w:rsidRPr="0084665E">
              <w:rPr>
                <w:rFonts w:eastAsia="Times New Roman" w:cstheme="minorHAnsi"/>
                <w:lang w:val="en-GB" w:eastAsia="cs-CZ"/>
              </w:rPr>
              <w:t xml:space="preserve"> </w:t>
            </w:r>
            <w:r w:rsidRPr="006D25D6">
              <w:rPr>
                <w:rFonts w:eastAsia="Times New Roman" w:cstheme="minorHAnsi"/>
                <w:lang w:val="en-GB" w:eastAsia="cs-CZ"/>
              </w:rPr>
              <w:t>Regular inter-household cas</w:t>
            </w:r>
            <w:r w:rsidR="00CB7153" w:rsidRPr="0084665E">
              <w:rPr>
                <w:rFonts w:eastAsia="Times New Roman" w:cstheme="minorHAnsi"/>
                <w:lang w:val="en-GB" w:eastAsia="cs-CZ"/>
              </w:rPr>
              <w:t>h</w:t>
            </w:r>
            <w:r w:rsidRPr="006D25D6">
              <w:rPr>
                <w:rFonts w:eastAsia="Times New Roman" w:cstheme="minorHAnsi"/>
                <w:lang w:val="en-GB" w:eastAsia="cs-CZ"/>
              </w:rPr>
              <w:t xml:space="preserve"> transfer</w:t>
            </w:r>
            <w:r w:rsidR="0084665E">
              <w:rPr>
                <w:rFonts w:eastAsia="Times New Roman" w:cstheme="minorHAnsi"/>
                <w:lang w:val="en-GB" w:eastAsia="cs-CZ"/>
              </w:rPr>
              <w:t>s</w:t>
            </w:r>
            <w:r w:rsidRPr="006D25D6">
              <w:rPr>
                <w:rFonts w:eastAsia="Times New Roman" w:cstheme="minorHAnsi"/>
                <w:lang w:val="en-GB" w:eastAsia="cs-CZ"/>
              </w:rPr>
              <w:t xml:space="preserve"> paid</w:t>
            </w:r>
          </w:p>
        </w:tc>
        <w:tc>
          <w:tcPr>
            <w:tcW w:w="744" w:type="dxa"/>
            <w:tcBorders>
              <w:bottom w:val="single" w:sz="4" w:space="0" w:color="auto"/>
            </w:tcBorders>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HY130</w:t>
            </w:r>
          </w:p>
        </w:tc>
      </w:tr>
      <w:tr w:rsidR="006D25D6" w:rsidRPr="006D25D6" w:rsidTr="005A35FF">
        <w:trPr>
          <w:trHeight w:hRule="exact" w:val="312"/>
          <w:jc w:val="center"/>
        </w:trPr>
        <w:tc>
          <w:tcPr>
            <w:tcW w:w="5493" w:type="dxa"/>
            <w:tcBorders>
              <w:bottom w:val="double" w:sz="4" w:space="0" w:color="auto"/>
            </w:tcBorders>
            <w:shd w:val="clear" w:color="auto" w:fill="auto"/>
            <w:vAlign w:val="bottom"/>
            <w:hideMark/>
          </w:tcPr>
          <w:p w:rsidR="006D25D6" w:rsidRPr="006D25D6" w:rsidRDefault="00CB7153" w:rsidP="00BF670A">
            <w:pPr>
              <w:spacing w:after="0" w:line="240" w:lineRule="auto"/>
              <w:rPr>
                <w:rFonts w:eastAsia="Times New Roman" w:cstheme="minorHAnsi"/>
                <w:b/>
                <w:bCs/>
                <w:lang w:val="en-GB" w:eastAsia="cs-CZ"/>
              </w:rPr>
            </w:pPr>
            <w:r w:rsidRPr="0084665E">
              <w:rPr>
                <w:rFonts w:eastAsia="Times New Roman" w:cstheme="minorHAnsi"/>
                <w:b/>
                <w:bCs/>
                <w:lang w:val="en-GB" w:eastAsia="cs-CZ"/>
              </w:rPr>
              <w:t xml:space="preserve">E.  Total disposable </w:t>
            </w:r>
            <w:r w:rsidR="00BF670A" w:rsidRPr="006D25D6">
              <w:rPr>
                <w:rFonts w:eastAsia="Times New Roman" w:cstheme="minorHAnsi"/>
                <w:b/>
                <w:bCs/>
                <w:lang w:val="en-GB" w:eastAsia="cs-CZ"/>
              </w:rPr>
              <w:t>household</w:t>
            </w:r>
            <w:r w:rsidR="00BF670A" w:rsidRPr="0084665E">
              <w:rPr>
                <w:rFonts w:eastAsia="Times New Roman" w:cstheme="minorHAnsi"/>
                <w:b/>
                <w:bCs/>
                <w:lang w:val="en-GB" w:eastAsia="cs-CZ"/>
              </w:rPr>
              <w:t xml:space="preserve"> </w:t>
            </w:r>
            <w:r w:rsidR="006D25D6" w:rsidRPr="006D25D6">
              <w:rPr>
                <w:rFonts w:eastAsia="Times New Roman" w:cstheme="minorHAnsi"/>
                <w:b/>
                <w:bCs/>
                <w:lang w:val="en-GB" w:eastAsia="cs-CZ"/>
              </w:rPr>
              <w:t xml:space="preserve">income </w:t>
            </w:r>
            <w:r w:rsidRPr="0084665E">
              <w:rPr>
                <w:rFonts w:eastAsia="Times New Roman" w:cstheme="minorHAnsi"/>
                <w:b/>
                <w:bCs/>
                <w:lang w:val="en-GB" w:eastAsia="cs-CZ"/>
              </w:rPr>
              <w:t xml:space="preserve">   </w:t>
            </w:r>
            <w:r w:rsidR="00BF670A">
              <w:rPr>
                <w:rFonts w:eastAsia="Times New Roman" w:cstheme="minorHAnsi"/>
                <w:b/>
                <w:bCs/>
                <w:lang w:val="en-GB" w:eastAsia="cs-CZ"/>
              </w:rPr>
              <w:t xml:space="preserve"> </w:t>
            </w:r>
            <w:r w:rsidRPr="00BF670A">
              <w:rPr>
                <w:rFonts w:eastAsia="Times New Roman" w:cstheme="minorHAnsi"/>
                <w:bCs/>
                <w:lang w:val="en-GB" w:eastAsia="cs-CZ"/>
              </w:rPr>
              <w:t xml:space="preserve">(E = </w:t>
            </w:r>
            <w:r w:rsidR="006D25D6" w:rsidRPr="006D25D6">
              <w:rPr>
                <w:rFonts w:eastAsia="Times New Roman" w:cstheme="minorHAnsi"/>
                <w:bCs/>
                <w:lang w:val="en-GB" w:eastAsia="cs-CZ"/>
              </w:rPr>
              <w:t>A</w:t>
            </w:r>
            <w:r w:rsidRPr="00BF670A">
              <w:rPr>
                <w:rFonts w:eastAsia="Times New Roman" w:cstheme="minorHAnsi"/>
                <w:bCs/>
                <w:lang w:val="en-GB" w:eastAsia="cs-CZ"/>
              </w:rPr>
              <w:t xml:space="preserve"> – </w:t>
            </w:r>
            <w:r w:rsidR="006D25D6" w:rsidRPr="006D25D6">
              <w:rPr>
                <w:rFonts w:eastAsia="Times New Roman" w:cstheme="minorHAnsi"/>
                <w:bCs/>
                <w:lang w:val="en-GB" w:eastAsia="cs-CZ"/>
              </w:rPr>
              <w:t>B</w:t>
            </w:r>
            <w:r w:rsidRPr="00BF670A">
              <w:rPr>
                <w:rFonts w:eastAsia="Times New Roman" w:cstheme="minorHAnsi"/>
                <w:bCs/>
                <w:lang w:val="en-GB" w:eastAsia="cs-CZ"/>
              </w:rPr>
              <w:t xml:space="preserve"> – </w:t>
            </w:r>
            <w:r w:rsidR="006D25D6" w:rsidRPr="006D25D6">
              <w:rPr>
                <w:rFonts w:eastAsia="Times New Roman" w:cstheme="minorHAnsi"/>
                <w:bCs/>
                <w:lang w:val="en-GB" w:eastAsia="cs-CZ"/>
              </w:rPr>
              <w:t>C</w:t>
            </w:r>
            <w:r w:rsidRPr="00BF670A">
              <w:rPr>
                <w:rFonts w:eastAsia="Times New Roman" w:cstheme="minorHAnsi"/>
                <w:bCs/>
                <w:lang w:val="en-GB" w:eastAsia="cs-CZ"/>
              </w:rPr>
              <w:t xml:space="preserve"> – </w:t>
            </w:r>
            <w:r w:rsidR="006D25D6" w:rsidRPr="006D25D6">
              <w:rPr>
                <w:rFonts w:eastAsia="Times New Roman" w:cstheme="minorHAnsi"/>
                <w:bCs/>
                <w:lang w:val="en-GB" w:eastAsia="cs-CZ"/>
              </w:rPr>
              <w:t>D)</w:t>
            </w:r>
          </w:p>
        </w:tc>
        <w:tc>
          <w:tcPr>
            <w:tcW w:w="744" w:type="dxa"/>
            <w:tcBorders>
              <w:bottom w:val="double" w:sz="4" w:space="0" w:color="auto"/>
            </w:tcBorders>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HY020</w:t>
            </w:r>
          </w:p>
        </w:tc>
      </w:tr>
      <w:tr w:rsidR="006D25D6" w:rsidRPr="006D25D6" w:rsidTr="005A35FF">
        <w:trPr>
          <w:trHeight w:hRule="exact" w:val="312"/>
          <w:jc w:val="center"/>
        </w:trPr>
        <w:tc>
          <w:tcPr>
            <w:tcW w:w="5493" w:type="dxa"/>
            <w:tcBorders>
              <w:top w:val="double" w:sz="4" w:space="0" w:color="auto"/>
            </w:tcBorders>
            <w:shd w:val="clear" w:color="auto" w:fill="auto"/>
            <w:noWrap/>
            <w:vAlign w:val="bottom"/>
            <w:hideMark/>
          </w:tcPr>
          <w:p w:rsidR="006D25D6" w:rsidRPr="006D25D6" w:rsidRDefault="006D25D6" w:rsidP="006D25D6">
            <w:pPr>
              <w:spacing w:after="0" w:line="240" w:lineRule="auto"/>
              <w:rPr>
                <w:rFonts w:eastAsia="Times New Roman" w:cstheme="minorHAnsi"/>
                <w:b/>
                <w:bCs/>
                <w:lang w:val="en-GB" w:eastAsia="cs-CZ"/>
              </w:rPr>
            </w:pPr>
            <w:r w:rsidRPr="006D25D6">
              <w:rPr>
                <w:rFonts w:eastAsia="Times New Roman" w:cstheme="minorHAnsi"/>
                <w:b/>
                <w:bCs/>
                <w:lang w:val="en-GB" w:eastAsia="cs-CZ"/>
              </w:rPr>
              <w:t xml:space="preserve">1. </w:t>
            </w:r>
            <w:r w:rsidR="00CB7153" w:rsidRPr="0084665E">
              <w:rPr>
                <w:rFonts w:eastAsia="Times New Roman" w:cstheme="minorHAnsi"/>
                <w:b/>
                <w:bCs/>
                <w:lang w:val="en-GB" w:eastAsia="cs-CZ"/>
              </w:rPr>
              <w:t xml:space="preserve"> </w:t>
            </w:r>
            <w:r w:rsidRPr="006D25D6">
              <w:rPr>
                <w:rFonts w:eastAsia="Times New Roman" w:cstheme="minorHAnsi"/>
                <w:b/>
                <w:bCs/>
                <w:lang w:val="en-GB" w:eastAsia="cs-CZ"/>
              </w:rPr>
              <w:t>Employee cash or near cash income</w:t>
            </w:r>
          </w:p>
        </w:tc>
        <w:tc>
          <w:tcPr>
            <w:tcW w:w="744" w:type="dxa"/>
            <w:tcBorders>
              <w:top w:val="double" w:sz="4" w:space="0" w:color="auto"/>
            </w:tcBorders>
            <w:shd w:val="clear" w:color="auto" w:fill="auto"/>
            <w:noWrap/>
            <w:vAlign w:val="bottom"/>
            <w:hideMark/>
          </w:tcPr>
          <w:p w:rsidR="006D25D6" w:rsidRPr="006D25D6" w:rsidRDefault="006D25D6" w:rsidP="006D25D6">
            <w:pPr>
              <w:spacing w:after="0" w:line="240" w:lineRule="auto"/>
              <w:rPr>
                <w:rFonts w:eastAsia="Times New Roman" w:cstheme="minorHAnsi"/>
                <w:lang w:val="en-GB" w:eastAsia="cs-CZ"/>
              </w:rPr>
            </w:pPr>
          </w:p>
        </w:tc>
      </w:tr>
      <w:tr w:rsidR="006D25D6" w:rsidRPr="006D25D6" w:rsidTr="005A35FF">
        <w:trPr>
          <w:trHeight w:hRule="exact" w:val="312"/>
          <w:jc w:val="center"/>
        </w:trPr>
        <w:tc>
          <w:tcPr>
            <w:tcW w:w="5493" w:type="dxa"/>
            <w:shd w:val="clear" w:color="auto" w:fill="auto"/>
            <w:noWrap/>
            <w:vAlign w:val="bottom"/>
            <w:hideMark/>
          </w:tcPr>
          <w:p w:rsidR="006D25D6" w:rsidRPr="006D25D6" w:rsidRDefault="006D25D6" w:rsidP="006D25D6">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1.a </w:t>
            </w:r>
            <w:r w:rsidR="00CB7153" w:rsidRPr="0084665E">
              <w:rPr>
                <w:rFonts w:eastAsia="Times New Roman" w:cstheme="minorHAnsi"/>
                <w:lang w:val="en-GB" w:eastAsia="cs-CZ"/>
              </w:rPr>
              <w:t xml:space="preserve">  </w:t>
            </w:r>
            <w:r w:rsidRPr="006D25D6">
              <w:rPr>
                <w:rFonts w:eastAsia="Times New Roman" w:cstheme="minorHAnsi"/>
                <w:lang w:val="en-GB" w:eastAsia="cs-CZ"/>
              </w:rPr>
              <w:t>Employee cash income</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PY010</w:t>
            </w:r>
          </w:p>
        </w:tc>
      </w:tr>
      <w:tr w:rsidR="006D25D6" w:rsidRPr="006D25D6" w:rsidTr="005A35FF">
        <w:trPr>
          <w:trHeight w:hRule="exact" w:val="312"/>
          <w:jc w:val="center"/>
        </w:trPr>
        <w:tc>
          <w:tcPr>
            <w:tcW w:w="5493" w:type="dxa"/>
            <w:shd w:val="clear" w:color="auto" w:fill="auto"/>
            <w:vAlign w:val="bottom"/>
            <w:hideMark/>
          </w:tcPr>
          <w:p w:rsidR="006D25D6" w:rsidRPr="006D25D6" w:rsidRDefault="006D25D6" w:rsidP="006D25D6">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1.b </w:t>
            </w:r>
            <w:r w:rsidR="00CB7153" w:rsidRPr="0084665E">
              <w:rPr>
                <w:rFonts w:eastAsia="Times New Roman" w:cstheme="minorHAnsi"/>
                <w:lang w:val="en-GB" w:eastAsia="cs-CZ"/>
              </w:rPr>
              <w:t xml:space="preserve">  </w:t>
            </w:r>
            <w:r w:rsidRPr="006D25D6">
              <w:rPr>
                <w:rFonts w:eastAsia="Times New Roman" w:cstheme="minorHAnsi"/>
                <w:lang w:val="en-GB" w:eastAsia="cs-CZ"/>
              </w:rPr>
              <w:t>Employee near cash income (Company car)</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lang w:val="en-GB" w:eastAsia="cs-CZ"/>
              </w:rPr>
            </w:pPr>
            <w:r w:rsidRPr="006D25D6">
              <w:rPr>
                <w:rFonts w:eastAsia="Times New Roman" w:cstheme="minorHAnsi"/>
                <w:lang w:val="en-GB" w:eastAsia="cs-CZ"/>
              </w:rPr>
              <w:t>PY021</w:t>
            </w:r>
          </w:p>
        </w:tc>
      </w:tr>
      <w:tr w:rsidR="006D25D6" w:rsidRPr="006D25D6" w:rsidTr="005A35FF">
        <w:trPr>
          <w:trHeight w:hRule="exact" w:val="312"/>
          <w:jc w:val="center"/>
        </w:trPr>
        <w:tc>
          <w:tcPr>
            <w:tcW w:w="5493" w:type="dxa"/>
            <w:shd w:val="clear" w:color="auto" w:fill="auto"/>
            <w:vAlign w:val="bottom"/>
            <w:hideMark/>
          </w:tcPr>
          <w:p w:rsidR="006D25D6" w:rsidRPr="006D25D6" w:rsidRDefault="006D25D6" w:rsidP="006D25D6">
            <w:pPr>
              <w:spacing w:after="0" w:line="240" w:lineRule="auto"/>
              <w:rPr>
                <w:rFonts w:eastAsia="Times New Roman" w:cstheme="minorHAnsi"/>
                <w:b/>
                <w:bCs/>
                <w:lang w:val="en-GB" w:eastAsia="cs-CZ"/>
              </w:rPr>
            </w:pPr>
            <w:r w:rsidRPr="006D25D6">
              <w:rPr>
                <w:rFonts w:eastAsia="Times New Roman" w:cstheme="minorHAnsi"/>
                <w:b/>
                <w:bCs/>
                <w:lang w:val="en-GB" w:eastAsia="cs-CZ"/>
              </w:rPr>
              <w:t xml:space="preserve">2. </w:t>
            </w:r>
            <w:r w:rsidR="00CB7153" w:rsidRPr="0084665E">
              <w:rPr>
                <w:rFonts w:eastAsia="Times New Roman" w:cstheme="minorHAnsi"/>
                <w:b/>
                <w:bCs/>
                <w:lang w:val="en-GB" w:eastAsia="cs-CZ"/>
              </w:rPr>
              <w:t xml:space="preserve"> </w:t>
            </w:r>
            <w:r w:rsidRPr="006D25D6">
              <w:rPr>
                <w:rFonts w:eastAsia="Times New Roman" w:cstheme="minorHAnsi"/>
                <w:b/>
                <w:bCs/>
                <w:lang w:val="en-GB" w:eastAsia="cs-CZ"/>
              </w:rPr>
              <w:t>Cash benefits or losses from self-employment</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PY050</w:t>
            </w:r>
          </w:p>
        </w:tc>
      </w:tr>
      <w:tr w:rsidR="006D25D6" w:rsidRPr="006D25D6" w:rsidTr="005A35FF">
        <w:trPr>
          <w:trHeight w:hRule="exact" w:val="312"/>
          <w:jc w:val="center"/>
        </w:trPr>
        <w:tc>
          <w:tcPr>
            <w:tcW w:w="5493" w:type="dxa"/>
            <w:shd w:val="clear" w:color="auto" w:fill="auto"/>
            <w:noWrap/>
            <w:vAlign w:val="bottom"/>
            <w:hideMark/>
          </w:tcPr>
          <w:p w:rsidR="006D25D6" w:rsidRPr="006D25D6" w:rsidRDefault="006D25D6" w:rsidP="006D25D6">
            <w:pPr>
              <w:spacing w:after="0" w:line="240" w:lineRule="auto"/>
              <w:rPr>
                <w:rFonts w:eastAsia="Times New Roman" w:cstheme="minorHAnsi"/>
                <w:b/>
                <w:bCs/>
                <w:lang w:val="en-GB" w:eastAsia="cs-CZ"/>
              </w:rPr>
            </w:pPr>
            <w:r w:rsidRPr="006D25D6">
              <w:rPr>
                <w:rFonts w:eastAsia="Times New Roman" w:cstheme="minorHAnsi"/>
                <w:b/>
                <w:bCs/>
                <w:lang w:val="en-GB" w:eastAsia="cs-CZ"/>
              </w:rPr>
              <w:t xml:space="preserve">3. </w:t>
            </w:r>
            <w:r w:rsidR="00CB7153" w:rsidRPr="0084665E">
              <w:rPr>
                <w:rFonts w:eastAsia="Times New Roman" w:cstheme="minorHAnsi"/>
                <w:b/>
                <w:bCs/>
                <w:lang w:val="en-GB" w:eastAsia="cs-CZ"/>
              </w:rPr>
              <w:t xml:space="preserve"> </w:t>
            </w:r>
            <w:r w:rsidRPr="006D25D6">
              <w:rPr>
                <w:rFonts w:eastAsia="Times New Roman" w:cstheme="minorHAnsi"/>
                <w:b/>
                <w:bCs/>
                <w:lang w:val="en-GB" w:eastAsia="cs-CZ"/>
              </w:rPr>
              <w:t>Social transfers</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p>
        </w:tc>
      </w:tr>
      <w:tr w:rsidR="006D25D6" w:rsidRPr="006D25D6" w:rsidTr="005A35FF">
        <w:trPr>
          <w:trHeight w:hRule="exact" w:val="312"/>
          <w:jc w:val="center"/>
        </w:trPr>
        <w:tc>
          <w:tcPr>
            <w:tcW w:w="5493" w:type="dxa"/>
            <w:shd w:val="clear" w:color="auto" w:fill="auto"/>
            <w:noWrap/>
            <w:vAlign w:val="bottom"/>
            <w:hideMark/>
          </w:tcPr>
          <w:p w:rsidR="006D25D6" w:rsidRPr="006D25D6" w:rsidRDefault="006D25D6" w:rsidP="006D25D6">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3.a </w:t>
            </w:r>
            <w:r w:rsidR="00CB7153" w:rsidRPr="0084665E">
              <w:rPr>
                <w:rFonts w:eastAsia="Times New Roman" w:cstheme="minorHAnsi"/>
                <w:lang w:val="en-GB" w:eastAsia="cs-CZ"/>
              </w:rPr>
              <w:t xml:space="preserve">  </w:t>
            </w:r>
            <w:r w:rsidRPr="006D25D6">
              <w:rPr>
                <w:rFonts w:eastAsia="Times New Roman" w:cstheme="minorHAnsi"/>
                <w:lang w:val="en-GB" w:eastAsia="cs-CZ"/>
              </w:rPr>
              <w:t>Old-age benefits</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PY100</w:t>
            </w:r>
          </w:p>
        </w:tc>
      </w:tr>
      <w:tr w:rsidR="006D25D6" w:rsidRPr="006D25D6" w:rsidTr="005A35FF">
        <w:trPr>
          <w:trHeight w:hRule="exact" w:val="312"/>
          <w:jc w:val="center"/>
        </w:trPr>
        <w:tc>
          <w:tcPr>
            <w:tcW w:w="5493" w:type="dxa"/>
            <w:shd w:val="clear" w:color="auto" w:fill="auto"/>
            <w:noWrap/>
            <w:vAlign w:val="bottom"/>
            <w:hideMark/>
          </w:tcPr>
          <w:p w:rsidR="006D25D6" w:rsidRPr="006D25D6" w:rsidRDefault="006D25D6" w:rsidP="006D25D6">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3.b </w:t>
            </w:r>
            <w:r w:rsidR="00CB7153" w:rsidRPr="0084665E">
              <w:rPr>
                <w:rFonts w:eastAsia="Times New Roman" w:cstheme="minorHAnsi"/>
                <w:lang w:val="en-GB" w:eastAsia="cs-CZ"/>
              </w:rPr>
              <w:t xml:space="preserve">  </w:t>
            </w:r>
            <w:r w:rsidRPr="006D25D6">
              <w:rPr>
                <w:rFonts w:eastAsia="Times New Roman" w:cstheme="minorHAnsi"/>
                <w:lang w:val="en-GB" w:eastAsia="cs-CZ"/>
              </w:rPr>
              <w:t>Survivor's benefits</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PY110</w:t>
            </w:r>
          </w:p>
        </w:tc>
      </w:tr>
      <w:tr w:rsidR="006D25D6" w:rsidRPr="006D25D6" w:rsidTr="005A35FF">
        <w:trPr>
          <w:trHeight w:hRule="exact" w:val="312"/>
          <w:jc w:val="center"/>
        </w:trPr>
        <w:tc>
          <w:tcPr>
            <w:tcW w:w="5493" w:type="dxa"/>
            <w:shd w:val="clear" w:color="auto" w:fill="auto"/>
            <w:noWrap/>
            <w:vAlign w:val="bottom"/>
            <w:hideMark/>
          </w:tcPr>
          <w:p w:rsidR="006D25D6" w:rsidRPr="006D25D6" w:rsidRDefault="006D25D6" w:rsidP="006D25D6">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3.c </w:t>
            </w:r>
            <w:r w:rsidR="00CB7153" w:rsidRPr="0084665E">
              <w:rPr>
                <w:rFonts w:eastAsia="Times New Roman" w:cstheme="minorHAnsi"/>
                <w:lang w:val="en-GB" w:eastAsia="cs-CZ"/>
              </w:rPr>
              <w:t xml:space="preserve">  </w:t>
            </w:r>
            <w:r w:rsidRPr="006D25D6">
              <w:rPr>
                <w:rFonts w:eastAsia="Times New Roman" w:cstheme="minorHAnsi"/>
                <w:lang w:val="en-GB" w:eastAsia="cs-CZ"/>
              </w:rPr>
              <w:t>Disability benefits</w:t>
            </w:r>
          </w:p>
        </w:tc>
        <w:tc>
          <w:tcPr>
            <w:tcW w:w="744" w:type="dxa"/>
            <w:shd w:val="clear" w:color="auto" w:fill="auto"/>
            <w:noWrap/>
            <w:vAlign w:val="bottom"/>
            <w:hideMark/>
          </w:tcPr>
          <w:p w:rsidR="006D25D6" w:rsidRPr="006D25D6" w:rsidRDefault="006D25D6" w:rsidP="006D25D6">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PY130</w:t>
            </w:r>
          </w:p>
        </w:tc>
      </w:tr>
      <w:tr w:rsidR="0084665E" w:rsidRPr="006D25D6" w:rsidTr="005A35FF">
        <w:trPr>
          <w:trHeight w:hRule="exact" w:val="312"/>
          <w:jc w:val="center"/>
        </w:trPr>
        <w:tc>
          <w:tcPr>
            <w:tcW w:w="5493" w:type="dxa"/>
            <w:shd w:val="clear" w:color="auto" w:fill="auto"/>
            <w:noWrap/>
            <w:vAlign w:val="bottom"/>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3.d </w:t>
            </w:r>
            <w:r w:rsidRPr="0084665E">
              <w:rPr>
                <w:rFonts w:eastAsia="Times New Roman" w:cstheme="minorHAnsi"/>
                <w:lang w:val="en-GB" w:eastAsia="cs-CZ"/>
              </w:rPr>
              <w:t xml:space="preserve">  </w:t>
            </w:r>
            <w:r w:rsidRPr="006D25D6">
              <w:rPr>
                <w:rFonts w:eastAsia="Times New Roman" w:cstheme="minorHAnsi"/>
                <w:lang w:val="en-GB" w:eastAsia="cs-CZ"/>
              </w:rPr>
              <w:t>Education-related allowances</w:t>
            </w:r>
          </w:p>
        </w:tc>
        <w:tc>
          <w:tcPr>
            <w:tcW w:w="744" w:type="dxa"/>
            <w:shd w:val="clear" w:color="auto" w:fill="auto"/>
            <w:noWrap/>
            <w:vAlign w:val="bottom"/>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PY140</w:t>
            </w:r>
          </w:p>
        </w:tc>
      </w:tr>
      <w:tr w:rsidR="0084665E" w:rsidRPr="006D25D6" w:rsidTr="005A35FF">
        <w:trPr>
          <w:trHeight w:hRule="exact" w:val="312"/>
          <w:jc w:val="center"/>
        </w:trPr>
        <w:tc>
          <w:tcPr>
            <w:tcW w:w="5493" w:type="dxa"/>
            <w:shd w:val="clear" w:color="auto" w:fill="auto"/>
            <w:noWrap/>
            <w:vAlign w:val="bottom"/>
            <w:hideMark/>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3.e </w:t>
            </w:r>
            <w:r w:rsidRPr="0084665E">
              <w:rPr>
                <w:rFonts w:eastAsia="Times New Roman" w:cstheme="minorHAnsi"/>
                <w:lang w:val="en-GB" w:eastAsia="cs-CZ"/>
              </w:rPr>
              <w:t xml:space="preserve">  </w:t>
            </w:r>
            <w:r w:rsidRPr="006D25D6">
              <w:rPr>
                <w:rFonts w:eastAsia="Times New Roman" w:cstheme="minorHAnsi"/>
                <w:lang w:val="en-GB" w:eastAsia="cs-CZ"/>
              </w:rPr>
              <w:t>Si</w:t>
            </w:r>
            <w:r w:rsidRPr="0084665E">
              <w:rPr>
                <w:rFonts w:eastAsia="Times New Roman" w:cstheme="minorHAnsi"/>
                <w:lang w:val="en-GB" w:eastAsia="cs-CZ"/>
              </w:rPr>
              <w:t>c</w:t>
            </w:r>
            <w:r w:rsidRPr="006D25D6">
              <w:rPr>
                <w:rFonts w:eastAsia="Times New Roman" w:cstheme="minorHAnsi"/>
                <w:lang w:val="en-GB" w:eastAsia="cs-CZ"/>
              </w:rPr>
              <w:t>kness benefits</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PY120</w:t>
            </w:r>
          </w:p>
        </w:tc>
      </w:tr>
      <w:tr w:rsidR="0084665E" w:rsidRPr="006D25D6" w:rsidTr="005A35FF">
        <w:trPr>
          <w:trHeight w:hRule="exact" w:val="312"/>
          <w:jc w:val="center"/>
        </w:trPr>
        <w:tc>
          <w:tcPr>
            <w:tcW w:w="5493" w:type="dxa"/>
            <w:shd w:val="clear" w:color="auto" w:fill="auto"/>
            <w:noWrap/>
            <w:vAlign w:val="bottom"/>
            <w:hideMark/>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3.f </w:t>
            </w:r>
            <w:r w:rsidRPr="0084665E">
              <w:rPr>
                <w:rFonts w:eastAsia="Times New Roman" w:cstheme="minorHAnsi"/>
                <w:lang w:val="en-GB" w:eastAsia="cs-CZ"/>
              </w:rPr>
              <w:t xml:space="preserve">  </w:t>
            </w:r>
            <w:r w:rsidRPr="006D25D6">
              <w:rPr>
                <w:rFonts w:eastAsia="Times New Roman" w:cstheme="minorHAnsi"/>
                <w:lang w:val="en-GB" w:eastAsia="cs-CZ"/>
              </w:rPr>
              <w:t>Unemployment benefits</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PY090</w:t>
            </w:r>
          </w:p>
        </w:tc>
      </w:tr>
      <w:tr w:rsidR="0084665E" w:rsidRPr="006D25D6" w:rsidTr="005A35FF">
        <w:trPr>
          <w:trHeight w:hRule="exact" w:val="312"/>
          <w:jc w:val="center"/>
        </w:trPr>
        <w:tc>
          <w:tcPr>
            <w:tcW w:w="5493" w:type="dxa"/>
            <w:shd w:val="clear" w:color="auto" w:fill="auto"/>
            <w:noWrap/>
            <w:vAlign w:val="bottom"/>
            <w:hideMark/>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3.g </w:t>
            </w:r>
            <w:r w:rsidRPr="0084665E">
              <w:rPr>
                <w:rFonts w:eastAsia="Times New Roman" w:cstheme="minorHAnsi"/>
                <w:lang w:val="en-GB" w:eastAsia="cs-CZ"/>
              </w:rPr>
              <w:t xml:space="preserve"> </w:t>
            </w:r>
            <w:r>
              <w:rPr>
                <w:rFonts w:eastAsia="Times New Roman" w:cstheme="minorHAnsi"/>
                <w:lang w:val="en-GB" w:eastAsia="cs-CZ"/>
              </w:rPr>
              <w:t xml:space="preserve"> </w:t>
            </w:r>
            <w:r w:rsidRPr="006D25D6">
              <w:rPr>
                <w:rFonts w:eastAsia="Times New Roman" w:cstheme="minorHAnsi"/>
                <w:lang w:val="en-GB" w:eastAsia="cs-CZ"/>
              </w:rPr>
              <w:t>Family/children-related allowances</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HY050</w:t>
            </w:r>
          </w:p>
        </w:tc>
      </w:tr>
      <w:tr w:rsidR="0084665E" w:rsidRPr="006D25D6" w:rsidTr="005A35FF">
        <w:trPr>
          <w:trHeight w:hRule="exact" w:val="312"/>
          <w:jc w:val="center"/>
        </w:trPr>
        <w:tc>
          <w:tcPr>
            <w:tcW w:w="5493" w:type="dxa"/>
            <w:shd w:val="clear" w:color="auto" w:fill="auto"/>
            <w:noWrap/>
            <w:vAlign w:val="bottom"/>
            <w:hideMark/>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3.h </w:t>
            </w:r>
            <w:r>
              <w:rPr>
                <w:rFonts w:eastAsia="Times New Roman" w:cstheme="minorHAnsi"/>
                <w:lang w:val="en-GB" w:eastAsia="cs-CZ"/>
              </w:rPr>
              <w:t xml:space="preserve"> </w:t>
            </w:r>
            <w:r w:rsidRPr="006D25D6">
              <w:rPr>
                <w:rFonts w:eastAsia="Times New Roman" w:cstheme="minorHAnsi"/>
                <w:lang w:val="en-GB" w:eastAsia="cs-CZ"/>
              </w:rPr>
              <w:t>Housing allowances</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HY070</w:t>
            </w:r>
          </w:p>
        </w:tc>
      </w:tr>
      <w:tr w:rsidR="0084665E" w:rsidRPr="006D25D6" w:rsidTr="005A35FF">
        <w:trPr>
          <w:trHeight w:hRule="exact" w:val="312"/>
          <w:jc w:val="center"/>
        </w:trPr>
        <w:tc>
          <w:tcPr>
            <w:tcW w:w="5493" w:type="dxa"/>
            <w:shd w:val="clear" w:color="auto" w:fill="auto"/>
            <w:noWrap/>
            <w:vAlign w:val="bottom"/>
            <w:hideMark/>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3.i </w:t>
            </w:r>
            <w:r>
              <w:rPr>
                <w:rFonts w:eastAsia="Times New Roman" w:cstheme="minorHAnsi"/>
                <w:lang w:val="en-GB" w:eastAsia="cs-CZ"/>
              </w:rPr>
              <w:t xml:space="preserve">  </w:t>
            </w:r>
            <w:r w:rsidRPr="006D25D6">
              <w:rPr>
                <w:rFonts w:eastAsia="Times New Roman" w:cstheme="minorHAnsi"/>
                <w:lang w:val="en-GB" w:eastAsia="cs-CZ"/>
              </w:rPr>
              <w:t>Social exclusion not elsewhere classified</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HY060</w:t>
            </w:r>
          </w:p>
        </w:tc>
      </w:tr>
      <w:tr w:rsidR="0084665E" w:rsidRPr="006D25D6" w:rsidTr="005A35FF">
        <w:trPr>
          <w:trHeight w:hRule="exact" w:val="312"/>
          <w:jc w:val="center"/>
        </w:trPr>
        <w:tc>
          <w:tcPr>
            <w:tcW w:w="5493" w:type="dxa"/>
            <w:shd w:val="clear" w:color="auto" w:fill="auto"/>
            <w:noWrap/>
            <w:vAlign w:val="bottom"/>
            <w:hideMark/>
          </w:tcPr>
          <w:p w:rsidR="0084665E" w:rsidRPr="006D25D6" w:rsidRDefault="0084665E" w:rsidP="0084665E">
            <w:pPr>
              <w:spacing w:after="0" w:line="240" w:lineRule="auto"/>
              <w:rPr>
                <w:rFonts w:eastAsia="Times New Roman" w:cstheme="minorHAnsi"/>
                <w:b/>
                <w:bCs/>
                <w:lang w:val="en-GB" w:eastAsia="cs-CZ"/>
              </w:rPr>
            </w:pPr>
            <w:r w:rsidRPr="006D25D6">
              <w:rPr>
                <w:rFonts w:eastAsia="Times New Roman" w:cstheme="minorHAnsi"/>
                <w:b/>
                <w:bCs/>
                <w:lang w:val="en-GB" w:eastAsia="cs-CZ"/>
              </w:rPr>
              <w:t xml:space="preserve">4. </w:t>
            </w:r>
            <w:r>
              <w:rPr>
                <w:rFonts w:eastAsia="Times New Roman" w:cstheme="minorHAnsi"/>
                <w:b/>
                <w:bCs/>
                <w:lang w:val="en-GB" w:eastAsia="cs-CZ"/>
              </w:rPr>
              <w:t xml:space="preserve"> </w:t>
            </w:r>
            <w:r w:rsidRPr="006D25D6">
              <w:rPr>
                <w:rFonts w:eastAsia="Times New Roman" w:cstheme="minorHAnsi"/>
                <w:b/>
                <w:bCs/>
                <w:lang w:val="en-GB" w:eastAsia="cs-CZ"/>
              </w:rPr>
              <w:t>Other income</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 </w:t>
            </w:r>
          </w:p>
        </w:tc>
      </w:tr>
      <w:tr w:rsidR="0084665E" w:rsidRPr="006D25D6" w:rsidTr="005A35FF">
        <w:trPr>
          <w:trHeight w:hRule="exact" w:val="510"/>
          <w:jc w:val="center"/>
        </w:trPr>
        <w:tc>
          <w:tcPr>
            <w:tcW w:w="5493" w:type="dxa"/>
            <w:shd w:val="clear" w:color="auto" w:fill="auto"/>
            <w:vAlign w:val="bottom"/>
            <w:hideMark/>
          </w:tcPr>
          <w:p w:rsidR="0084665E"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4.a </w:t>
            </w:r>
            <w:r>
              <w:rPr>
                <w:rFonts w:eastAsia="Times New Roman" w:cstheme="minorHAnsi"/>
                <w:lang w:val="en-GB" w:eastAsia="cs-CZ"/>
              </w:rPr>
              <w:t xml:space="preserve">  </w:t>
            </w:r>
            <w:r w:rsidRPr="006D25D6">
              <w:rPr>
                <w:rFonts w:eastAsia="Times New Roman" w:cstheme="minorHAnsi"/>
                <w:lang w:val="en-GB" w:eastAsia="cs-CZ"/>
              </w:rPr>
              <w:t>Interest, dividen</w:t>
            </w:r>
            <w:r>
              <w:rPr>
                <w:rFonts w:eastAsia="Times New Roman" w:cstheme="minorHAnsi"/>
                <w:lang w:val="en-GB" w:eastAsia="cs-CZ"/>
              </w:rPr>
              <w:t>d</w:t>
            </w:r>
            <w:r w:rsidRPr="006D25D6">
              <w:rPr>
                <w:rFonts w:eastAsia="Times New Roman" w:cstheme="minorHAnsi"/>
                <w:lang w:val="en-GB" w:eastAsia="cs-CZ"/>
              </w:rPr>
              <w:t xml:space="preserve">s, profit from capital </w:t>
            </w:r>
          </w:p>
          <w:p w:rsidR="0084665E" w:rsidRPr="006D25D6" w:rsidRDefault="0084665E" w:rsidP="0084665E">
            <w:pPr>
              <w:spacing w:after="0" w:line="240" w:lineRule="auto"/>
              <w:ind w:firstLineChars="200" w:firstLine="440"/>
              <w:rPr>
                <w:rFonts w:eastAsia="Times New Roman" w:cstheme="minorHAnsi"/>
                <w:lang w:val="en-GB" w:eastAsia="cs-CZ"/>
              </w:rPr>
            </w:pPr>
            <w:r>
              <w:rPr>
                <w:rFonts w:eastAsia="Times New Roman" w:cstheme="minorHAnsi"/>
                <w:lang w:val="en-GB" w:eastAsia="cs-CZ"/>
              </w:rPr>
              <w:t xml:space="preserve">        i</w:t>
            </w:r>
            <w:r w:rsidRPr="006D25D6">
              <w:rPr>
                <w:rFonts w:eastAsia="Times New Roman" w:cstheme="minorHAnsi"/>
                <w:lang w:val="en-GB" w:eastAsia="cs-CZ"/>
              </w:rPr>
              <w:t>nvestments in unincorporated business</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HY090</w:t>
            </w:r>
          </w:p>
        </w:tc>
      </w:tr>
      <w:tr w:rsidR="0084665E" w:rsidRPr="006D25D6" w:rsidTr="005A35FF">
        <w:trPr>
          <w:trHeight w:hRule="exact" w:val="312"/>
          <w:jc w:val="center"/>
        </w:trPr>
        <w:tc>
          <w:tcPr>
            <w:tcW w:w="5493" w:type="dxa"/>
            <w:shd w:val="clear" w:color="auto" w:fill="auto"/>
            <w:vAlign w:val="bottom"/>
            <w:hideMark/>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4.b </w:t>
            </w:r>
            <w:r>
              <w:rPr>
                <w:rFonts w:eastAsia="Times New Roman" w:cstheme="minorHAnsi"/>
                <w:lang w:val="en-GB" w:eastAsia="cs-CZ"/>
              </w:rPr>
              <w:t xml:space="preserve">  </w:t>
            </w:r>
            <w:r w:rsidRPr="006D25D6">
              <w:rPr>
                <w:rFonts w:eastAsia="Times New Roman" w:cstheme="minorHAnsi"/>
                <w:lang w:val="en-GB" w:eastAsia="cs-CZ"/>
              </w:rPr>
              <w:t>Income from rental of a property or land</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HY040</w:t>
            </w:r>
          </w:p>
        </w:tc>
      </w:tr>
      <w:tr w:rsidR="0084665E" w:rsidRPr="006D25D6" w:rsidTr="005A35FF">
        <w:trPr>
          <w:trHeight w:hRule="exact" w:val="312"/>
          <w:jc w:val="center"/>
        </w:trPr>
        <w:tc>
          <w:tcPr>
            <w:tcW w:w="5493" w:type="dxa"/>
            <w:shd w:val="clear" w:color="auto" w:fill="auto"/>
            <w:vAlign w:val="bottom"/>
            <w:hideMark/>
          </w:tcPr>
          <w:p w:rsidR="0084665E" w:rsidRPr="006D25D6" w:rsidRDefault="0084665E" w:rsidP="0084665E">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4.c </w:t>
            </w:r>
            <w:r>
              <w:rPr>
                <w:rFonts w:eastAsia="Times New Roman" w:cstheme="minorHAnsi"/>
                <w:lang w:val="en-GB" w:eastAsia="cs-CZ"/>
              </w:rPr>
              <w:t xml:space="preserve">  </w:t>
            </w:r>
            <w:r w:rsidRPr="006D25D6">
              <w:rPr>
                <w:rFonts w:eastAsia="Times New Roman" w:cstheme="minorHAnsi"/>
                <w:lang w:val="en-GB" w:eastAsia="cs-CZ"/>
              </w:rPr>
              <w:t>Pension from individual private plans</w:t>
            </w:r>
          </w:p>
        </w:tc>
        <w:tc>
          <w:tcPr>
            <w:tcW w:w="744" w:type="dxa"/>
            <w:shd w:val="clear" w:color="auto" w:fill="auto"/>
            <w:noWrap/>
            <w:vAlign w:val="bottom"/>
            <w:hideMark/>
          </w:tcPr>
          <w:p w:rsidR="0084665E" w:rsidRPr="006D25D6" w:rsidRDefault="0084665E" w:rsidP="0084665E">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PY080</w:t>
            </w:r>
          </w:p>
        </w:tc>
      </w:tr>
      <w:tr w:rsidR="005A35FF" w:rsidRPr="006D25D6" w:rsidTr="005A35FF">
        <w:trPr>
          <w:trHeight w:hRule="exact" w:val="312"/>
          <w:jc w:val="center"/>
        </w:trPr>
        <w:tc>
          <w:tcPr>
            <w:tcW w:w="5493" w:type="dxa"/>
            <w:shd w:val="clear" w:color="auto" w:fill="auto"/>
            <w:vAlign w:val="bottom"/>
          </w:tcPr>
          <w:p w:rsidR="005A35FF" w:rsidRPr="006D25D6" w:rsidRDefault="005A35FF" w:rsidP="005A35FF">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 xml:space="preserve">4.d </w:t>
            </w:r>
            <w:r>
              <w:rPr>
                <w:rFonts w:eastAsia="Times New Roman" w:cstheme="minorHAnsi"/>
                <w:lang w:val="en-GB" w:eastAsia="cs-CZ"/>
              </w:rPr>
              <w:t xml:space="preserve">  </w:t>
            </w:r>
            <w:r w:rsidRPr="006D25D6">
              <w:rPr>
                <w:rFonts w:eastAsia="Times New Roman" w:cstheme="minorHAnsi"/>
                <w:lang w:val="en-GB" w:eastAsia="cs-CZ"/>
              </w:rPr>
              <w:t>Regular inter-household cash transfer</w:t>
            </w:r>
            <w:r>
              <w:rPr>
                <w:rFonts w:eastAsia="Times New Roman" w:cstheme="minorHAnsi"/>
                <w:lang w:val="en-GB" w:eastAsia="cs-CZ"/>
              </w:rPr>
              <w:t>s</w:t>
            </w:r>
            <w:r w:rsidRPr="006D25D6">
              <w:rPr>
                <w:rFonts w:eastAsia="Times New Roman" w:cstheme="minorHAnsi"/>
                <w:lang w:val="en-GB" w:eastAsia="cs-CZ"/>
              </w:rPr>
              <w:t xml:space="preserve"> received</w:t>
            </w:r>
          </w:p>
        </w:tc>
        <w:tc>
          <w:tcPr>
            <w:tcW w:w="744" w:type="dxa"/>
            <w:shd w:val="clear" w:color="auto" w:fill="auto"/>
            <w:noWrap/>
            <w:vAlign w:val="bottom"/>
          </w:tcPr>
          <w:p w:rsidR="005A35FF" w:rsidRPr="006D25D6" w:rsidRDefault="005A35FF" w:rsidP="005A35FF">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HY080</w:t>
            </w:r>
          </w:p>
        </w:tc>
      </w:tr>
      <w:tr w:rsidR="005A35FF" w:rsidRPr="006D25D6" w:rsidTr="005A35FF">
        <w:trPr>
          <w:trHeight w:hRule="exact" w:val="312"/>
          <w:jc w:val="center"/>
        </w:trPr>
        <w:tc>
          <w:tcPr>
            <w:tcW w:w="5493" w:type="dxa"/>
            <w:shd w:val="clear" w:color="auto" w:fill="auto"/>
            <w:vAlign w:val="bottom"/>
            <w:hideMark/>
          </w:tcPr>
          <w:p w:rsidR="005A35FF" w:rsidRPr="006D25D6" w:rsidRDefault="005A35FF" w:rsidP="005A35FF">
            <w:pPr>
              <w:spacing w:after="0" w:line="240" w:lineRule="auto"/>
              <w:ind w:firstLineChars="200" w:firstLine="440"/>
              <w:rPr>
                <w:rFonts w:eastAsia="Times New Roman" w:cstheme="minorHAnsi"/>
                <w:lang w:val="en-GB" w:eastAsia="cs-CZ"/>
              </w:rPr>
            </w:pPr>
            <w:r w:rsidRPr="006D25D6">
              <w:rPr>
                <w:rFonts w:eastAsia="Times New Roman" w:cstheme="minorHAnsi"/>
                <w:lang w:val="en-GB" w:eastAsia="cs-CZ"/>
              </w:rPr>
              <w:t>4.</w:t>
            </w:r>
            <w:r>
              <w:rPr>
                <w:rFonts w:eastAsia="Times New Roman" w:cstheme="minorHAnsi"/>
                <w:lang w:val="en-GB" w:eastAsia="cs-CZ"/>
              </w:rPr>
              <w:t>e</w:t>
            </w:r>
            <w:r w:rsidRPr="006D25D6">
              <w:rPr>
                <w:rFonts w:eastAsia="Times New Roman" w:cstheme="minorHAnsi"/>
                <w:lang w:val="en-GB" w:eastAsia="cs-CZ"/>
              </w:rPr>
              <w:t xml:space="preserve"> </w:t>
            </w:r>
            <w:r>
              <w:rPr>
                <w:rFonts w:eastAsia="Times New Roman" w:cstheme="minorHAnsi"/>
                <w:lang w:val="en-GB" w:eastAsia="cs-CZ"/>
              </w:rPr>
              <w:t xml:space="preserve">  </w:t>
            </w:r>
            <w:r w:rsidRPr="005A35FF">
              <w:rPr>
                <w:rFonts w:eastAsia="Times New Roman" w:cstheme="minorHAnsi"/>
                <w:lang w:val="en-GB" w:eastAsia="cs-CZ"/>
              </w:rPr>
              <w:t xml:space="preserve">Income received by people aged under 16 </w:t>
            </w:r>
          </w:p>
        </w:tc>
        <w:tc>
          <w:tcPr>
            <w:tcW w:w="744" w:type="dxa"/>
            <w:shd w:val="clear" w:color="auto" w:fill="auto"/>
            <w:noWrap/>
            <w:vAlign w:val="bottom"/>
            <w:hideMark/>
          </w:tcPr>
          <w:p w:rsidR="005A35FF" w:rsidRPr="006D25D6" w:rsidRDefault="005A35FF" w:rsidP="005A35FF">
            <w:pPr>
              <w:spacing w:after="0" w:line="240" w:lineRule="auto"/>
              <w:rPr>
                <w:rFonts w:eastAsia="Times New Roman" w:cstheme="minorHAnsi"/>
                <w:color w:val="000000"/>
                <w:lang w:val="en-GB" w:eastAsia="cs-CZ"/>
              </w:rPr>
            </w:pPr>
            <w:r w:rsidRPr="006D25D6">
              <w:rPr>
                <w:rFonts w:eastAsia="Times New Roman" w:cstheme="minorHAnsi"/>
                <w:color w:val="000000"/>
                <w:lang w:val="en-GB" w:eastAsia="cs-CZ"/>
              </w:rPr>
              <w:t>HY</w:t>
            </w:r>
            <w:r>
              <w:rPr>
                <w:rFonts w:eastAsia="Times New Roman" w:cstheme="minorHAnsi"/>
                <w:color w:val="000000"/>
                <w:lang w:val="en-GB" w:eastAsia="cs-CZ"/>
              </w:rPr>
              <w:t>11</w:t>
            </w:r>
            <w:r w:rsidRPr="006D25D6">
              <w:rPr>
                <w:rFonts w:eastAsia="Times New Roman" w:cstheme="minorHAnsi"/>
                <w:color w:val="000000"/>
                <w:lang w:val="en-GB" w:eastAsia="cs-CZ"/>
              </w:rPr>
              <w:t>0</w:t>
            </w:r>
          </w:p>
        </w:tc>
      </w:tr>
    </w:tbl>
    <w:p w:rsidR="006D25D6" w:rsidRPr="001D023D" w:rsidRDefault="006D25D6" w:rsidP="001D023D">
      <w:pPr>
        <w:jc w:val="both"/>
        <w:rPr>
          <w:rFonts w:eastAsiaTheme="minorEastAsia"/>
          <w:color w:val="FF0000"/>
          <w:sz w:val="24"/>
          <w:szCs w:val="24"/>
        </w:rPr>
      </w:pPr>
    </w:p>
    <w:p w:rsidR="00374C03" w:rsidRPr="0057221A" w:rsidRDefault="00374C03" w:rsidP="00381415">
      <w:pPr>
        <w:jc w:val="both"/>
        <w:rPr>
          <w:rFonts w:eastAsiaTheme="minorEastAsia"/>
          <w:sz w:val="24"/>
          <w:szCs w:val="24"/>
          <w:lang w:val="en-GB"/>
        </w:rPr>
      </w:pPr>
      <w:r w:rsidRPr="00374C03">
        <w:rPr>
          <w:rFonts w:eastAsiaTheme="minorEastAsia" w:cstheme="minorHAnsi"/>
          <w:sz w:val="24"/>
          <w:szCs w:val="24"/>
          <w:lang w:val="en-GB"/>
        </w:rPr>
        <w:t xml:space="preserve">The EU-SILC construction of Total disposable HH income used two underlying international standards – Canberra manual on household income statistics, and the ESSPROS international classification for classifying the various national social benefits into shared component categories, </w:t>
      </w:r>
      <w:r w:rsidRPr="00F2302A">
        <w:rPr>
          <w:rFonts w:eastAsiaTheme="minorEastAsia" w:cstheme="minorHAnsi"/>
          <w:sz w:val="24"/>
          <w:szCs w:val="24"/>
          <w:lang w:val="en-GB"/>
        </w:rPr>
        <w:t xml:space="preserve">based on the notion of </w:t>
      </w:r>
      <w:r w:rsidR="00186B69" w:rsidRPr="00F2302A">
        <w:rPr>
          <w:rFonts w:eastAsiaTheme="minorEastAsia" w:cstheme="minorHAnsi"/>
          <w:sz w:val="24"/>
          <w:szCs w:val="24"/>
          <w:lang w:val="en-GB"/>
        </w:rPr>
        <w:t xml:space="preserve">classification </w:t>
      </w:r>
      <w:r w:rsidRPr="00F2302A">
        <w:rPr>
          <w:rFonts w:eastAsiaTheme="minorEastAsia" w:cstheme="minorHAnsi"/>
          <w:sz w:val="24"/>
          <w:szCs w:val="24"/>
          <w:lang w:val="en-GB"/>
        </w:rPr>
        <w:t xml:space="preserve">“by purpose”. In the </w:t>
      </w:r>
      <w:r w:rsidRPr="00374C03">
        <w:rPr>
          <w:rFonts w:eastAsiaTheme="minorEastAsia" w:cstheme="minorHAnsi"/>
          <w:sz w:val="24"/>
          <w:szCs w:val="24"/>
          <w:lang w:val="en-GB"/>
        </w:rPr>
        <w:t xml:space="preserve">ESSPROS classification there are distinguished eight functions of social protection: </w:t>
      </w:r>
      <w:r w:rsidR="00381415">
        <w:rPr>
          <w:rFonts w:eastAsiaTheme="minorEastAsia" w:cstheme="minorHAnsi"/>
          <w:sz w:val="24"/>
          <w:szCs w:val="24"/>
          <w:lang w:val="en-GB"/>
        </w:rPr>
        <w:t xml:space="preserve">1) </w:t>
      </w:r>
      <w:r w:rsidRPr="00381415">
        <w:rPr>
          <w:rFonts w:eastAsiaTheme="minorEastAsia" w:cstheme="minorHAnsi"/>
          <w:sz w:val="24"/>
          <w:szCs w:val="24"/>
          <w:lang w:val="en-GB"/>
        </w:rPr>
        <w:t>Sickness/Health care, 2)</w:t>
      </w:r>
      <w:r w:rsidR="00F2302A">
        <w:rPr>
          <w:rFonts w:eastAsiaTheme="minorEastAsia" w:cstheme="minorHAnsi"/>
          <w:sz w:val="24"/>
          <w:szCs w:val="24"/>
          <w:lang w:val="en-GB"/>
        </w:rPr>
        <w:t> </w:t>
      </w:r>
      <w:r w:rsidRPr="00381415">
        <w:rPr>
          <w:rFonts w:eastAsiaTheme="minorEastAsia" w:cstheme="minorHAnsi"/>
          <w:sz w:val="24"/>
          <w:szCs w:val="24"/>
          <w:lang w:val="en-GB"/>
        </w:rPr>
        <w:t>Disability, 3) Old age, 4) Survivors, 5) Family/children, 6) Unemployment, 7) Housing, 8)</w:t>
      </w:r>
      <w:r w:rsidR="00F2302A">
        <w:rPr>
          <w:rFonts w:eastAsiaTheme="minorEastAsia" w:cstheme="minorHAnsi"/>
          <w:sz w:val="24"/>
          <w:szCs w:val="24"/>
          <w:lang w:val="en-GB"/>
        </w:rPr>
        <w:t> </w:t>
      </w:r>
      <w:r w:rsidRPr="00381415">
        <w:rPr>
          <w:rFonts w:eastAsiaTheme="minorEastAsia" w:cstheme="minorHAnsi"/>
          <w:sz w:val="24"/>
          <w:szCs w:val="24"/>
          <w:lang w:val="en-GB"/>
        </w:rPr>
        <w:t>Social exclusion not else</w:t>
      </w:r>
      <w:r w:rsidRPr="00381415">
        <w:rPr>
          <w:rFonts w:cstheme="minorHAnsi"/>
          <w:sz w:val="24"/>
          <w:szCs w:val="24"/>
          <w:lang w:val="en-GB"/>
        </w:rPr>
        <w:t xml:space="preserve">where classified. All social benefits </w:t>
      </w:r>
      <w:r w:rsidR="00381415" w:rsidRPr="00381415">
        <w:rPr>
          <w:rFonts w:cstheme="minorHAnsi"/>
          <w:sz w:val="24"/>
          <w:szCs w:val="24"/>
          <w:lang w:val="en-GB"/>
        </w:rPr>
        <w:t xml:space="preserve">are also classified </w:t>
      </w:r>
      <w:r w:rsidRPr="00381415">
        <w:rPr>
          <w:rFonts w:cstheme="minorHAnsi"/>
          <w:sz w:val="24"/>
          <w:szCs w:val="24"/>
          <w:lang w:val="en-GB"/>
        </w:rPr>
        <w:t>by typ</w:t>
      </w:r>
      <w:r w:rsidR="00381415" w:rsidRPr="00381415">
        <w:rPr>
          <w:rFonts w:cstheme="minorHAnsi"/>
          <w:sz w:val="24"/>
          <w:szCs w:val="24"/>
          <w:lang w:val="en-GB"/>
        </w:rPr>
        <w:t>e: cash benefits or benefits in kind.</w:t>
      </w:r>
    </w:p>
    <w:p w:rsidR="005A35FF" w:rsidRDefault="005A35FF">
      <w:pPr>
        <w:rPr>
          <w:rStyle w:val="Strk"/>
          <w:rFonts w:asciiTheme="minorHAnsi" w:hAnsiTheme="minorHAnsi" w:cstheme="minorHAnsi"/>
          <w:i w:val="0"/>
          <w:sz w:val="26"/>
          <w:szCs w:val="26"/>
          <w:lang w:val="en-GB"/>
        </w:rPr>
      </w:pPr>
      <w:r>
        <w:rPr>
          <w:rStyle w:val="Strk"/>
          <w:rFonts w:asciiTheme="minorHAnsi" w:hAnsiTheme="minorHAnsi" w:cstheme="minorHAnsi"/>
          <w:i w:val="0"/>
          <w:sz w:val="26"/>
          <w:szCs w:val="26"/>
          <w:lang w:val="en-GB"/>
        </w:rPr>
        <w:lastRenderedPageBreak/>
        <w:br w:type="page"/>
      </w:r>
    </w:p>
    <w:p w:rsidR="001D023D" w:rsidRPr="00D47316" w:rsidRDefault="00ED3BFD" w:rsidP="001D023D">
      <w:pPr>
        <w:spacing w:before="120" w:after="0"/>
        <w:jc w:val="both"/>
        <w:rPr>
          <w:rStyle w:val="Strk"/>
          <w:rFonts w:asciiTheme="minorHAnsi" w:hAnsiTheme="minorHAnsi" w:cstheme="minorHAnsi"/>
          <w:i w:val="0"/>
          <w:sz w:val="26"/>
          <w:szCs w:val="26"/>
          <w:lang w:val="en-GB"/>
        </w:rPr>
      </w:pPr>
      <w:r w:rsidRPr="00D47316">
        <w:rPr>
          <w:rStyle w:val="Strk"/>
          <w:rFonts w:asciiTheme="minorHAnsi" w:hAnsiTheme="minorHAnsi" w:cstheme="minorHAnsi"/>
          <w:i w:val="0"/>
          <w:sz w:val="26"/>
          <w:szCs w:val="26"/>
          <w:lang w:val="en-GB"/>
        </w:rPr>
        <w:lastRenderedPageBreak/>
        <w:t xml:space="preserve">Income components in </w:t>
      </w:r>
      <w:r w:rsidR="001D023D" w:rsidRPr="00D47316">
        <w:rPr>
          <w:rStyle w:val="Strk"/>
          <w:rFonts w:asciiTheme="minorHAnsi" w:hAnsiTheme="minorHAnsi" w:cstheme="minorHAnsi"/>
          <w:i w:val="0"/>
          <w:sz w:val="26"/>
          <w:szCs w:val="26"/>
          <w:lang w:val="en-GB"/>
        </w:rPr>
        <w:t>HIES</w:t>
      </w:r>
    </w:p>
    <w:p w:rsidR="00ED3BFD" w:rsidRDefault="00ED3BFD" w:rsidP="001D023D">
      <w:pPr>
        <w:spacing w:before="120" w:after="0"/>
        <w:jc w:val="both"/>
        <w:rPr>
          <w:rStyle w:val="Strk"/>
          <w:rFonts w:asciiTheme="minorHAnsi" w:hAnsiTheme="minorHAnsi" w:cstheme="minorHAnsi"/>
          <w:b w:val="0"/>
          <w:i w:val="0"/>
          <w:sz w:val="24"/>
          <w:szCs w:val="24"/>
          <w:lang w:val="en-GB"/>
        </w:rPr>
      </w:pPr>
      <w:r>
        <w:rPr>
          <w:rStyle w:val="Strk"/>
          <w:rFonts w:asciiTheme="minorHAnsi" w:hAnsiTheme="minorHAnsi" w:cstheme="minorHAnsi"/>
          <w:b w:val="0"/>
          <w:i w:val="0"/>
          <w:sz w:val="24"/>
          <w:szCs w:val="24"/>
          <w:lang w:val="en-GB"/>
        </w:rPr>
        <w:t>The coverage of income components in HIES is based on the 10 items and 5 aggregate levels. The composition is provided in the following table from t</w:t>
      </w:r>
      <w:bookmarkStart w:id="0" w:name="_GoBack"/>
      <w:bookmarkEnd w:id="0"/>
      <w:r>
        <w:rPr>
          <w:rStyle w:val="Strk"/>
          <w:rFonts w:asciiTheme="minorHAnsi" w:hAnsiTheme="minorHAnsi" w:cstheme="minorHAnsi"/>
          <w:b w:val="0"/>
          <w:i w:val="0"/>
          <w:sz w:val="24"/>
          <w:szCs w:val="24"/>
          <w:lang w:val="en-GB"/>
        </w:rPr>
        <w:t>he HIES derived variables database calculation specification:</w:t>
      </w:r>
    </w:p>
    <w:p w:rsidR="001D023D" w:rsidRPr="005A06FB" w:rsidRDefault="001D023D" w:rsidP="00A906E5">
      <w:pPr>
        <w:spacing w:after="0" w:line="240" w:lineRule="auto"/>
        <w:jc w:val="both"/>
        <w:rPr>
          <w:rStyle w:val="Strk"/>
          <w:rFonts w:asciiTheme="minorHAnsi" w:hAnsiTheme="minorHAnsi" w:cstheme="minorHAnsi"/>
          <w:b w:val="0"/>
          <w:i w:val="0"/>
          <w:sz w:val="24"/>
          <w:szCs w:val="24"/>
          <w:lang w:val="en-GB"/>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217"/>
        <w:gridCol w:w="1379"/>
      </w:tblGrid>
      <w:tr w:rsidR="001D023D" w:rsidRPr="005A06FB" w:rsidTr="001C0D4B">
        <w:trPr>
          <w:trHeight w:val="330"/>
          <w:jc w:val="center"/>
        </w:trPr>
        <w:tc>
          <w:tcPr>
            <w:tcW w:w="495" w:type="dxa"/>
            <w:shd w:val="clear" w:color="auto" w:fill="DEEAF6" w:themeFill="accent1" w:themeFillTint="33"/>
            <w:vAlign w:val="center"/>
            <w:hideMark/>
          </w:tcPr>
          <w:p w:rsidR="001D023D" w:rsidRPr="005A06FB" w:rsidRDefault="001D023D" w:rsidP="00BB5E35">
            <w:pPr>
              <w:spacing w:after="0"/>
              <w:rPr>
                <w:rFonts w:cstheme="minorHAnsi"/>
                <w:b/>
                <w:bCs/>
                <w:color w:val="000000"/>
                <w:lang w:val="en-GB"/>
              </w:rPr>
            </w:pPr>
            <w:r w:rsidRPr="005A06FB">
              <w:rPr>
                <w:rFonts w:cstheme="minorHAnsi"/>
                <w:b/>
                <w:bCs/>
                <w:color w:val="000000"/>
                <w:lang w:val="en-GB"/>
              </w:rPr>
              <w:t> </w:t>
            </w:r>
          </w:p>
        </w:tc>
        <w:tc>
          <w:tcPr>
            <w:tcW w:w="4217" w:type="dxa"/>
            <w:shd w:val="clear" w:color="auto" w:fill="DEEAF6" w:themeFill="accent1" w:themeFillTint="33"/>
            <w:vAlign w:val="center"/>
            <w:hideMark/>
          </w:tcPr>
          <w:p w:rsidR="001D023D" w:rsidRPr="005A06FB" w:rsidRDefault="001D023D" w:rsidP="00BB5E35">
            <w:pPr>
              <w:spacing w:after="0"/>
              <w:rPr>
                <w:rFonts w:cstheme="minorHAnsi"/>
                <w:b/>
                <w:bCs/>
                <w:i/>
                <w:color w:val="000000"/>
                <w:lang w:val="en-GB"/>
              </w:rPr>
            </w:pPr>
            <w:r w:rsidRPr="005A06FB">
              <w:rPr>
                <w:rFonts w:cstheme="minorHAnsi"/>
                <w:b/>
                <w:bCs/>
                <w:i/>
                <w:color w:val="000000"/>
                <w:lang w:val="en-GB"/>
              </w:rPr>
              <w:t>Description of Income</w:t>
            </w:r>
          </w:p>
        </w:tc>
        <w:tc>
          <w:tcPr>
            <w:tcW w:w="1379" w:type="dxa"/>
            <w:shd w:val="clear" w:color="auto" w:fill="DEEAF6" w:themeFill="accent1" w:themeFillTint="33"/>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1</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from Hired work</w:t>
            </w:r>
          </w:p>
        </w:tc>
        <w:tc>
          <w:tcPr>
            <w:tcW w:w="1379" w:type="dxa"/>
            <w:shd w:val="clear" w:color="auto" w:fill="auto"/>
            <w:noWrap/>
            <w:vAlign w:val="center"/>
            <w:hideMark/>
          </w:tcPr>
          <w:p w:rsidR="001D023D" w:rsidRPr="005A06FB" w:rsidRDefault="001D023D" w:rsidP="00BB5E35">
            <w:pPr>
              <w:spacing w:after="0"/>
              <w:rPr>
                <w:rFonts w:cstheme="minorHAnsi"/>
                <w:lang w:val="en-GB"/>
              </w:rPr>
            </w:pPr>
            <w:r w:rsidRPr="005A06FB">
              <w:rPr>
                <w:rFonts w:cstheme="minorHAnsi"/>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2</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from Self-employment</w:t>
            </w:r>
          </w:p>
        </w:tc>
        <w:tc>
          <w:tcPr>
            <w:tcW w:w="1379" w:type="dxa"/>
            <w:shd w:val="clear" w:color="auto" w:fill="auto"/>
            <w:noWrap/>
            <w:vAlign w:val="center"/>
            <w:hideMark/>
          </w:tcPr>
          <w:p w:rsidR="001D023D" w:rsidRPr="005A06FB" w:rsidRDefault="001D023D" w:rsidP="00BB5E35">
            <w:pPr>
              <w:spacing w:after="0"/>
              <w:rPr>
                <w:rFonts w:cstheme="minorHAnsi"/>
                <w:lang w:val="en-GB"/>
              </w:rPr>
            </w:pPr>
            <w:r w:rsidRPr="005A06FB">
              <w:rPr>
                <w:rFonts w:cstheme="minorHAnsi"/>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3</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from Sales of agricultural products</w:t>
            </w:r>
          </w:p>
        </w:tc>
        <w:tc>
          <w:tcPr>
            <w:tcW w:w="1379" w:type="dxa"/>
            <w:shd w:val="clear" w:color="auto" w:fill="auto"/>
            <w:noWrap/>
            <w:vAlign w:val="center"/>
            <w:hideMark/>
          </w:tcPr>
          <w:p w:rsidR="001D023D" w:rsidRPr="005A06FB" w:rsidRDefault="001D023D" w:rsidP="00BB5E35">
            <w:pPr>
              <w:spacing w:after="0"/>
              <w:rPr>
                <w:rFonts w:cstheme="minorHAnsi"/>
                <w:lang w:val="en-GB"/>
              </w:rPr>
            </w:pPr>
            <w:r w:rsidRPr="005A06FB">
              <w:rPr>
                <w:rFonts w:cstheme="minorHAnsi"/>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4</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 xml:space="preserve">from Property (rental, savings interest) </w:t>
            </w:r>
          </w:p>
        </w:tc>
        <w:tc>
          <w:tcPr>
            <w:tcW w:w="1379" w:type="dxa"/>
            <w:shd w:val="clear" w:color="auto" w:fill="auto"/>
            <w:noWrap/>
            <w:vAlign w:val="center"/>
            <w:hideMark/>
          </w:tcPr>
          <w:p w:rsidR="001D023D" w:rsidRPr="005A06FB" w:rsidRDefault="001D023D" w:rsidP="00BB5E35">
            <w:pPr>
              <w:spacing w:after="0"/>
              <w:rPr>
                <w:rFonts w:cstheme="minorHAnsi"/>
                <w:lang w:val="en-GB"/>
              </w:rPr>
            </w:pPr>
            <w:r w:rsidRPr="005A06FB">
              <w:rPr>
                <w:rFonts w:cstheme="minorHAnsi"/>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5</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 xml:space="preserve">Pensions, scholarships, aids </w:t>
            </w:r>
          </w:p>
        </w:tc>
        <w:tc>
          <w:tcPr>
            <w:tcW w:w="1379" w:type="dxa"/>
            <w:shd w:val="clear" w:color="auto" w:fill="auto"/>
            <w:noWrap/>
            <w:vAlign w:val="center"/>
            <w:hideMark/>
          </w:tcPr>
          <w:p w:rsidR="001D023D" w:rsidRPr="005A06FB" w:rsidRDefault="001D023D" w:rsidP="00BB5E35">
            <w:pPr>
              <w:spacing w:after="0"/>
              <w:rPr>
                <w:rFonts w:cstheme="minorHAnsi"/>
                <w:lang w:val="en-GB"/>
              </w:rPr>
            </w:pPr>
            <w:r w:rsidRPr="005A06FB">
              <w:rPr>
                <w:rFonts w:cstheme="minorHAnsi"/>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6</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Foreign remittance</w:t>
            </w:r>
          </w:p>
        </w:tc>
        <w:tc>
          <w:tcPr>
            <w:tcW w:w="1379" w:type="dxa"/>
            <w:shd w:val="clear" w:color="auto" w:fill="auto"/>
            <w:noWrap/>
            <w:vAlign w:val="center"/>
            <w:hideMark/>
          </w:tcPr>
          <w:p w:rsidR="001D023D" w:rsidRPr="005A06FB" w:rsidRDefault="001D023D" w:rsidP="00BB5E35">
            <w:pPr>
              <w:spacing w:after="0"/>
              <w:rPr>
                <w:rFonts w:cstheme="minorHAnsi"/>
                <w:lang w:val="en-GB"/>
              </w:rPr>
            </w:pPr>
            <w:r w:rsidRPr="005A06FB">
              <w:rPr>
                <w:rFonts w:cstheme="minorHAnsi"/>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7</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C8449D">
              <w:rPr>
                <w:rFonts w:cstheme="minorHAnsi"/>
                <w:color w:val="000000"/>
                <w:lang w:val="en-GB"/>
              </w:rPr>
              <w:t>Cash received in the form of gift</w:t>
            </w:r>
            <w:r w:rsidRPr="005A06FB">
              <w:rPr>
                <w:rFonts w:cstheme="minorHAnsi"/>
                <w:color w:val="000000"/>
                <w:lang w:val="en-GB"/>
              </w:rPr>
              <w:t xml:space="preserve"> </w:t>
            </w:r>
          </w:p>
        </w:tc>
        <w:tc>
          <w:tcPr>
            <w:tcW w:w="1379" w:type="dxa"/>
            <w:shd w:val="clear" w:color="auto" w:fill="auto"/>
            <w:noWrap/>
            <w:vAlign w:val="center"/>
            <w:hideMark/>
          </w:tcPr>
          <w:p w:rsidR="001D023D" w:rsidRPr="005A06FB" w:rsidRDefault="001D023D" w:rsidP="00BB5E35">
            <w:pPr>
              <w:spacing w:after="0"/>
              <w:rPr>
                <w:rFonts w:cstheme="minorHAnsi"/>
                <w:lang w:val="en-GB"/>
              </w:rPr>
            </w:pPr>
            <w:r w:rsidRPr="005A06FB">
              <w:rPr>
                <w:rFonts w:cstheme="minorHAnsi"/>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b/>
                <w:bCs/>
                <w:color w:val="000000"/>
                <w:lang w:val="en-GB"/>
              </w:rPr>
            </w:pPr>
            <w:r w:rsidRPr="005A06FB">
              <w:rPr>
                <w:rFonts w:cstheme="minorHAnsi"/>
                <w:b/>
                <w:bCs/>
                <w:color w:val="000000"/>
                <w:lang w:val="en-GB"/>
              </w:rPr>
              <w:t>8</w:t>
            </w:r>
          </w:p>
        </w:tc>
        <w:tc>
          <w:tcPr>
            <w:tcW w:w="4217" w:type="dxa"/>
            <w:shd w:val="clear" w:color="auto" w:fill="auto"/>
            <w:vAlign w:val="center"/>
            <w:hideMark/>
          </w:tcPr>
          <w:p w:rsidR="001D023D" w:rsidRPr="005A06FB" w:rsidRDefault="001D023D" w:rsidP="00BB5E35">
            <w:pPr>
              <w:spacing w:after="0"/>
              <w:rPr>
                <w:rFonts w:cstheme="minorHAnsi"/>
                <w:b/>
                <w:bCs/>
                <w:color w:val="000000"/>
                <w:lang w:val="en-GB"/>
              </w:rPr>
            </w:pPr>
            <w:r w:rsidRPr="005A06FB">
              <w:rPr>
                <w:rFonts w:cstheme="minorHAnsi"/>
                <w:b/>
                <w:bCs/>
                <w:color w:val="000000"/>
                <w:lang w:val="en-GB"/>
              </w:rPr>
              <w:t xml:space="preserve">Cash incomes and  transfers </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Total of 1-7</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9</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Sale of property</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color w:val="000000"/>
                <w:lang w:val="en-GB"/>
              </w:rPr>
            </w:pPr>
            <w:r w:rsidRPr="005A06FB">
              <w:rPr>
                <w:rFonts w:cstheme="minorHAnsi"/>
                <w:color w:val="000000"/>
                <w:lang w:val="en-GB"/>
              </w:rPr>
              <w:t>10</w:t>
            </w:r>
          </w:p>
        </w:tc>
        <w:tc>
          <w:tcPr>
            <w:tcW w:w="4217" w:type="dxa"/>
            <w:shd w:val="clear" w:color="auto" w:fill="auto"/>
            <w:vAlign w:val="center"/>
            <w:hideMark/>
          </w:tcPr>
          <w:p w:rsidR="001D023D" w:rsidRPr="005A06FB" w:rsidRDefault="001D023D" w:rsidP="00BB5E35">
            <w:pPr>
              <w:spacing w:after="0"/>
              <w:rPr>
                <w:rFonts w:cstheme="minorHAnsi"/>
                <w:color w:val="000000"/>
                <w:lang w:val="en-GB"/>
              </w:rPr>
            </w:pPr>
            <w:r w:rsidRPr="005A06FB">
              <w:rPr>
                <w:rFonts w:cstheme="minorHAnsi"/>
                <w:color w:val="000000"/>
                <w:lang w:val="en-GB"/>
              </w:rPr>
              <w:t xml:space="preserve">Cash borrowings or use of savings </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b/>
                <w:bCs/>
                <w:color w:val="000000"/>
                <w:lang w:val="en-GB"/>
              </w:rPr>
            </w:pPr>
            <w:r w:rsidRPr="005A06FB">
              <w:rPr>
                <w:rFonts w:cstheme="minorHAnsi"/>
                <w:b/>
                <w:bCs/>
                <w:color w:val="000000"/>
                <w:lang w:val="en-GB"/>
              </w:rPr>
              <w:t>11</w:t>
            </w:r>
          </w:p>
        </w:tc>
        <w:tc>
          <w:tcPr>
            <w:tcW w:w="4217" w:type="dxa"/>
            <w:shd w:val="clear" w:color="auto" w:fill="auto"/>
            <w:vAlign w:val="center"/>
            <w:hideMark/>
          </w:tcPr>
          <w:p w:rsidR="001D023D" w:rsidRPr="005A06FB" w:rsidRDefault="001D023D" w:rsidP="00BB5E35">
            <w:pPr>
              <w:spacing w:after="0"/>
              <w:rPr>
                <w:rFonts w:cstheme="minorHAnsi"/>
                <w:b/>
                <w:bCs/>
                <w:color w:val="000000"/>
                <w:lang w:val="en-GB"/>
              </w:rPr>
            </w:pPr>
            <w:r w:rsidRPr="005A06FB">
              <w:rPr>
                <w:rFonts w:cstheme="minorHAnsi"/>
                <w:b/>
                <w:bCs/>
                <w:color w:val="000000"/>
                <w:lang w:val="en-GB"/>
              </w:rPr>
              <w:t>Other cash resources</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Total of 9-10</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b/>
                <w:bCs/>
                <w:color w:val="000000"/>
                <w:lang w:val="en-GB"/>
              </w:rPr>
            </w:pPr>
            <w:r w:rsidRPr="005A06FB">
              <w:rPr>
                <w:rFonts w:cstheme="minorHAnsi"/>
                <w:b/>
                <w:bCs/>
                <w:color w:val="000000"/>
                <w:lang w:val="en-GB"/>
              </w:rPr>
              <w:t>12</w:t>
            </w:r>
          </w:p>
        </w:tc>
        <w:tc>
          <w:tcPr>
            <w:tcW w:w="4217" w:type="dxa"/>
            <w:shd w:val="clear" w:color="auto" w:fill="auto"/>
            <w:vAlign w:val="center"/>
            <w:hideMark/>
          </w:tcPr>
          <w:p w:rsidR="001D023D" w:rsidRPr="005A06FB" w:rsidRDefault="001D023D" w:rsidP="00BB5E35">
            <w:pPr>
              <w:spacing w:after="0"/>
              <w:rPr>
                <w:rFonts w:cstheme="minorHAnsi"/>
                <w:b/>
                <w:bCs/>
                <w:color w:val="000000"/>
                <w:lang w:val="en-GB"/>
              </w:rPr>
            </w:pPr>
            <w:r w:rsidRPr="005A06FB">
              <w:rPr>
                <w:rFonts w:cstheme="minorHAnsi"/>
                <w:b/>
                <w:bCs/>
                <w:color w:val="000000"/>
                <w:lang w:val="en-GB"/>
              </w:rPr>
              <w:t>Noncash income</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 </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b/>
                <w:bCs/>
                <w:color w:val="000000"/>
                <w:lang w:val="en-GB"/>
              </w:rPr>
            </w:pPr>
            <w:r w:rsidRPr="005A06FB">
              <w:rPr>
                <w:rFonts w:cstheme="minorHAnsi"/>
                <w:b/>
                <w:bCs/>
                <w:color w:val="000000"/>
                <w:lang w:val="en-GB"/>
              </w:rPr>
              <w:t>13</w:t>
            </w:r>
          </w:p>
        </w:tc>
        <w:tc>
          <w:tcPr>
            <w:tcW w:w="4217" w:type="dxa"/>
            <w:shd w:val="clear" w:color="auto" w:fill="auto"/>
            <w:vAlign w:val="center"/>
            <w:hideMark/>
          </w:tcPr>
          <w:p w:rsidR="001D023D" w:rsidRPr="005A06FB" w:rsidRDefault="001D023D" w:rsidP="00BB5E35">
            <w:pPr>
              <w:spacing w:after="0"/>
              <w:rPr>
                <w:rFonts w:cstheme="minorHAnsi"/>
                <w:b/>
                <w:bCs/>
                <w:color w:val="000000"/>
                <w:lang w:val="en-GB"/>
              </w:rPr>
            </w:pPr>
            <w:r w:rsidRPr="003A0C91">
              <w:rPr>
                <w:rFonts w:cstheme="minorHAnsi"/>
                <w:b/>
                <w:bCs/>
                <w:color w:val="000000"/>
                <w:lang w:val="en-GB"/>
              </w:rPr>
              <w:t>Total income</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8+12</w:t>
            </w:r>
          </w:p>
        </w:tc>
      </w:tr>
      <w:tr w:rsidR="001D023D" w:rsidRPr="005A06FB" w:rsidTr="00304F93">
        <w:trPr>
          <w:trHeight w:val="300"/>
          <w:jc w:val="center"/>
        </w:trPr>
        <w:tc>
          <w:tcPr>
            <w:tcW w:w="495" w:type="dxa"/>
            <w:shd w:val="clear" w:color="auto" w:fill="auto"/>
            <w:vAlign w:val="center"/>
            <w:hideMark/>
          </w:tcPr>
          <w:p w:rsidR="001D023D" w:rsidRPr="005A06FB" w:rsidRDefault="001D023D" w:rsidP="00BB5E35">
            <w:pPr>
              <w:spacing w:after="0"/>
              <w:jc w:val="right"/>
              <w:rPr>
                <w:rFonts w:cstheme="minorHAnsi"/>
                <w:b/>
                <w:bCs/>
                <w:color w:val="000000"/>
                <w:lang w:val="en-GB"/>
              </w:rPr>
            </w:pPr>
            <w:r w:rsidRPr="005A06FB">
              <w:rPr>
                <w:rFonts w:cstheme="minorHAnsi"/>
                <w:b/>
                <w:bCs/>
                <w:color w:val="000000"/>
                <w:lang w:val="en-GB"/>
              </w:rPr>
              <w:t>14</w:t>
            </w:r>
          </w:p>
        </w:tc>
        <w:tc>
          <w:tcPr>
            <w:tcW w:w="4217" w:type="dxa"/>
            <w:shd w:val="clear" w:color="auto" w:fill="auto"/>
            <w:vAlign w:val="center"/>
            <w:hideMark/>
          </w:tcPr>
          <w:p w:rsidR="001D023D" w:rsidRPr="005A06FB" w:rsidRDefault="001D023D" w:rsidP="00BB5E35">
            <w:pPr>
              <w:spacing w:after="0"/>
              <w:rPr>
                <w:rFonts w:cstheme="minorHAnsi"/>
                <w:b/>
                <w:bCs/>
                <w:color w:val="000000"/>
                <w:lang w:val="en-GB"/>
              </w:rPr>
            </w:pPr>
            <w:r w:rsidRPr="005A06FB">
              <w:rPr>
                <w:rFonts w:cstheme="minorHAnsi"/>
                <w:b/>
                <w:bCs/>
                <w:color w:val="000000"/>
                <w:lang w:val="en-GB"/>
              </w:rPr>
              <w:t>Total cash resources</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8+11</w:t>
            </w:r>
          </w:p>
        </w:tc>
      </w:tr>
      <w:tr w:rsidR="001D023D" w:rsidRPr="005A06FB" w:rsidTr="00304F93">
        <w:trPr>
          <w:trHeight w:val="315"/>
          <w:jc w:val="center"/>
        </w:trPr>
        <w:tc>
          <w:tcPr>
            <w:tcW w:w="495" w:type="dxa"/>
            <w:shd w:val="clear" w:color="auto" w:fill="auto"/>
            <w:vAlign w:val="center"/>
            <w:hideMark/>
          </w:tcPr>
          <w:p w:rsidR="001D023D" w:rsidRPr="005A06FB" w:rsidRDefault="001D023D" w:rsidP="00BB5E35">
            <w:pPr>
              <w:spacing w:after="0"/>
              <w:jc w:val="right"/>
              <w:rPr>
                <w:rFonts w:cstheme="minorHAnsi"/>
                <w:b/>
                <w:bCs/>
                <w:color w:val="000000"/>
                <w:lang w:val="en-GB"/>
              </w:rPr>
            </w:pPr>
            <w:r w:rsidRPr="005A06FB">
              <w:rPr>
                <w:rFonts w:cstheme="minorHAnsi"/>
                <w:b/>
                <w:bCs/>
                <w:color w:val="000000"/>
                <w:lang w:val="en-GB"/>
              </w:rPr>
              <w:t>15</w:t>
            </w:r>
          </w:p>
        </w:tc>
        <w:tc>
          <w:tcPr>
            <w:tcW w:w="4217" w:type="dxa"/>
            <w:shd w:val="clear" w:color="auto" w:fill="auto"/>
            <w:vAlign w:val="center"/>
            <w:hideMark/>
          </w:tcPr>
          <w:p w:rsidR="001D023D" w:rsidRPr="005A06FB" w:rsidRDefault="001D023D" w:rsidP="00BB5E35">
            <w:pPr>
              <w:spacing w:after="0"/>
              <w:rPr>
                <w:rFonts w:cstheme="minorHAnsi"/>
                <w:b/>
                <w:bCs/>
                <w:color w:val="000000"/>
                <w:lang w:val="en-GB"/>
              </w:rPr>
            </w:pPr>
            <w:r w:rsidRPr="005A06FB">
              <w:rPr>
                <w:rFonts w:cstheme="minorHAnsi"/>
                <w:b/>
                <w:bCs/>
                <w:color w:val="000000"/>
                <w:lang w:val="en-GB"/>
              </w:rPr>
              <w:t>Total cash and noncash income</w:t>
            </w:r>
          </w:p>
        </w:tc>
        <w:tc>
          <w:tcPr>
            <w:tcW w:w="1379" w:type="dxa"/>
            <w:shd w:val="clear" w:color="auto" w:fill="auto"/>
            <w:noWrap/>
            <w:vAlign w:val="center"/>
            <w:hideMark/>
          </w:tcPr>
          <w:p w:rsidR="001D023D" w:rsidRPr="005A06FB" w:rsidRDefault="001D023D" w:rsidP="00BB5E35">
            <w:pPr>
              <w:spacing w:after="0"/>
              <w:rPr>
                <w:rFonts w:cstheme="minorHAnsi"/>
                <w:b/>
                <w:bCs/>
                <w:lang w:val="en-GB"/>
              </w:rPr>
            </w:pPr>
            <w:r w:rsidRPr="005A06FB">
              <w:rPr>
                <w:rFonts w:cstheme="minorHAnsi"/>
                <w:b/>
                <w:bCs/>
                <w:lang w:val="en-GB"/>
              </w:rPr>
              <w:t>12+14</w:t>
            </w:r>
          </w:p>
        </w:tc>
      </w:tr>
    </w:tbl>
    <w:p w:rsidR="00ED3BFD" w:rsidRDefault="00ED3BFD" w:rsidP="00A906E5">
      <w:pPr>
        <w:spacing w:after="120"/>
        <w:jc w:val="both"/>
        <w:rPr>
          <w:b/>
          <w:bCs/>
          <w:i/>
          <w:lang w:val="en-GB"/>
        </w:rPr>
      </w:pPr>
    </w:p>
    <w:p w:rsidR="001D023D" w:rsidRPr="00304F93" w:rsidRDefault="00ED3BFD" w:rsidP="00ED3BFD">
      <w:pPr>
        <w:jc w:val="both"/>
        <w:rPr>
          <w:bCs/>
          <w:sz w:val="24"/>
          <w:szCs w:val="24"/>
          <w:lang w:val="en-GB"/>
        </w:rPr>
      </w:pPr>
      <w:r w:rsidRPr="00304F93">
        <w:rPr>
          <w:bCs/>
          <w:sz w:val="24"/>
          <w:szCs w:val="24"/>
          <w:lang w:val="en-GB"/>
        </w:rPr>
        <w:t>The HIES coverage is more extensive compared to the EU-SILC one. This is due to the multi</w:t>
      </w:r>
      <w:r w:rsidR="00304F93">
        <w:rPr>
          <w:bCs/>
          <w:sz w:val="24"/>
          <w:szCs w:val="24"/>
          <w:lang w:val="en-GB"/>
        </w:rPr>
        <w:t>-</w:t>
      </w:r>
      <w:r w:rsidRPr="00304F93">
        <w:rPr>
          <w:bCs/>
          <w:sz w:val="24"/>
          <w:szCs w:val="24"/>
          <w:lang w:val="en-GB"/>
        </w:rPr>
        <w:t xml:space="preserve">purpose nature of the HIES survey, covering also </w:t>
      </w:r>
      <w:r w:rsidR="0004528C" w:rsidRPr="00304F93">
        <w:rPr>
          <w:bCs/>
          <w:sz w:val="24"/>
          <w:szCs w:val="24"/>
          <w:lang w:val="en-GB"/>
        </w:rPr>
        <w:t>the items of savings/dissaving and borrowing cash flow parts, wider scope of non-cash incomes and consumption expenditures.</w:t>
      </w:r>
    </w:p>
    <w:p w:rsidR="005A336F" w:rsidRDefault="005A336F" w:rsidP="00604461">
      <w:pPr>
        <w:jc w:val="both"/>
        <w:rPr>
          <w:rStyle w:val="jlqj4b"/>
          <w:color w:val="FF0000"/>
          <w:sz w:val="24"/>
          <w:szCs w:val="24"/>
          <w:lang w:val="en-GB"/>
        </w:rPr>
      </w:pPr>
    </w:p>
    <w:p w:rsidR="00AB17B8" w:rsidRPr="004259BD" w:rsidRDefault="0004528C" w:rsidP="00605D9D">
      <w:pPr>
        <w:spacing w:after="200"/>
        <w:rPr>
          <w:rStyle w:val="jlqj4b"/>
          <w:b/>
          <w:sz w:val="42"/>
          <w:szCs w:val="42"/>
          <w:lang w:val="en-GB"/>
          <w14:textOutline w14:w="9525" w14:cap="rnd" w14:cmpd="sng" w14:algn="ctr">
            <w14:solidFill>
              <w14:schemeClr w14:val="accent1"/>
            </w14:solidFill>
            <w14:prstDash w14:val="solid"/>
            <w14:bevel/>
          </w14:textOutline>
        </w:rPr>
      </w:pPr>
      <w:r w:rsidRPr="004259BD">
        <w:rPr>
          <w:rStyle w:val="jlqj4b"/>
          <w:b/>
          <w:sz w:val="42"/>
          <w:szCs w:val="42"/>
          <w:lang w:val="en-GB"/>
          <w14:textOutline w14:w="9525" w14:cap="rnd" w14:cmpd="sng" w14:algn="ctr">
            <w14:solidFill>
              <w14:schemeClr w14:val="accent1"/>
            </w14:solidFill>
            <w14:prstDash w14:val="solid"/>
            <w14:bevel/>
          </w14:textOutline>
        </w:rPr>
        <w:t>Household membership, persons covered in</w:t>
      </w:r>
      <w:r w:rsidR="007F3DFD">
        <w:rPr>
          <w:rStyle w:val="jlqj4b"/>
          <w:b/>
          <w:sz w:val="42"/>
          <w:szCs w:val="42"/>
          <w:lang w:val="en-GB"/>
          <w14:textOutline w14:w="9525" w14:cap="rnd" w14:cmpd="sng" w14:algn="ctr">
            <w14:solidFill>
              <w14:schemeClr w14:val="accent1"/>
            </w14:solidFill>
            <w14:prstDash w14:val="solid"/>
            <w14:bevel/>
          </w14:textOutline>
        </w:rPr>
        <w:t> </w:t>
      </w:r>
      <w:r w:rsidRPr="004259BD">
        <w:rPr>
          <w:rStyle w:val="jlqj4b"/>
          <w:b/>
          <w:sz w:val="42"/>
          <w:szCs w:val="42"/>
          <w:lang w:val="en-GB"/>
          <w14:textOutline w14:w="9525" w14:cap="rnd" w14:cmpd="sng" w14:algn="ctr">
            <w14:solidFill>
              <w14:schemeClr w14:val="accent1"/>
            </w14:solidFill>
            <w14:prstDash w14:val="solid"/>
            <w14:bevel/>
          </w14:textOutline>
        </w:rPr>
        <w:t>household income calculation</w:t>
      </w:r>
    </w:p>
    <w:p w:rsidR="00CE14AA" w:rsidRPr="00CE14AA" w:rsidRDefault="00CE14AA" w:rsidP="00604461">
      <w:pPr>
        <w:jc w:val="both"/>
        <w:rPr>
          <w:rStyle w:val="jlqj4b"/>
          <w:sz w:val="24"/>
          <w:szCs w:val="24"/>
          <w:lang w:val="en-GB"/>
        </w:rPr>
      </w:pPr>
      <w:r w:rsidRPr="00CE14AA">
        <w:rPr>
          <w:rStyle w:val="jlqj4b"/>
          <w:sz w:val="24"/>
          <w:szCs w:val="24"/>
          <w:lang w:val="en-GB"/>
        </w:rPr>
        <w:t xml:space="preserve">In general instructions of Shinda 05, there is </w:t>
      </w:r>
      <w:r w:rsidR="001B50CC" w:rsidRPr="00CE14AA">
        <w:rPr>
          <w:rStyle w:val="jlqj4b"/>
          <w:sz w:val="24"/>
          <w:szCs w:val="24"/>
          <w:lang w:val="en-GB"/>
        </w:rPr>
        <w:t xml:space="preserve">an important difference explaining how to record monetary and nonmonetary income of the </w:t>
      </w:r>
      <w:r w:rsidR="0087118B" w:rsidRPr="00CE14AA">
        <w:rPr>
          <w:rStyle w:val="jlqj4b"/>
          <w:sz w:val="24"/>
          <w:szCs w:val="24"/>
          <w:lang w:val="en-GB"/>
        </w:rPr>
        <w:t xml:space="preserve">selected </w:t>
      </w:r>
      <w:r w:rsidR="001B50CC" w:rsidRPr="00CE14AA">
        <w:rPr>
          <w:rStyle w:val="jlqj4b"/>
          <w:sz w:val="24"/>
          <w:szCs w:val="24"/>
          <w:lang w:val="en-GB"/>
        </w:rPr>
        <w:t>household and its members during</w:t>
      </w:r>
      <w:r w:rsidR="0087118B" w:rsidRPr="00CE14AA">
        <w:rPr>
          <w:rStyle w:val="jlqj4b"/>
          <w:sz w:val="24"/>
          <w:szCs w:val="24"/>
          <w:lang w:val="en-GB"/>
        </w:rPr>
        <w:t xml:space="preserve"> </w:t>
      </w:r>
      <w:r w:rsidR="001B50CC" w:rsidRPr="00CE14AA">
        <w:rPr>
          <w:rStyle w:val="jlqj4b"/>
          <w:sz w:val="24"/>
          <w:szCs w:val="24"/>
          <w:lang w:val="en-GB"/>
        </w:rPr>
        <w:t>the</w:t>
      </w:r>
      <w:r w:rsidR="0087118B" w:rsidRPr="00CE14AA">
        <w:rPr>
          <w:rStyle w:val="jlqj4b"/>
          <w:sz w:val="24"/>
          <w:szCs w:val="24"/>
          <w:lang w:val="en-GB"/>
        </w:rPr>
        <w:t> </w:t>
      </w:r>
      <w:r w:rsidR="001B50CC" w:rsidRPr="00CE14AA">
        <w:rPr>
          <w:rStyle w:val="jlqj4b"/>
          <w:sz w:val="24"/>
          <w:szCs w:val="24"/>
          <w:lang w:val="en-GB"/>
        </w:rPr>
        <w:t>past three months.</w:t>
      </w:r>
      <w:r w:rsidRPr="00CE14AA">
        <w:rPr>
          <w:rStyle w:val="jlqj4b"/>
          <w:sz w:val="24"/>
          <w:szCs w:val="24"/>
          <w:lang w:val="en-GB"/>
        </w:rPr>
        <w:t xml:space="preserve"> </w:t>
      </w:r>
      <w:r w:rsidRPr="006B0981">
        <w:rPr>
          <w:rStyle w:val="jlqj4b"/>
          <w:sz w:val="24"/>
          <w:szCs w:val="24"/>
          <w:lang w:val="en-GB"/>
        </w:rPr>
        <w:t>It is stated there that i</w:t>
      </w:r>
      <w:r w:rsidR="00604461" w:rsidRPr="006B0981">
        <w:rPr>
          <w:rStyle w:val="jlqj4b"/>
          <w:sz w:val="24"/>
          <w:szCs w:val="24"/>
          <w:lang w:val="en-GB"/>
        </w:rPr>
        <w:t>n case</w:t>
      </w:r>
      <w:r w:rsidR="00604461" w:rsidRPr="00CE14AA">
        <w:rPr>
          <w:rStyle w:val="jlqj4b"/>
          <w:sz w:val="24"/>
          <w:szCs w:val="24"/>
          <w:lang w:val="en-GB"/>
        </w:rPr>
        <w:t xml:space="preserve"> a member who was a member of the</w:t>
      </w:r>
      <w:r w:rsidR="006B0981">
        <w:rPr>
          <w:rStyle w:val="jlqj4b"/>
          <w:sz w:val="24"/>
          <w:szCs w:val="24"/>
          <w:lang w:val="en-GB"/>
        </w:rPr>
        <w:t xml:space="preserve"> </w:t>
      </w:r>
      <w:r w:rsidR="00604461" w:rsidRPr="00CE14AA">
        <w:rPr>
          <w:rStyle w:val="jlqj4b"/>
          <w:sz w:val="24"/>
          <w:szCs w:val="24"/>
          <w:lang w:val="en-GB"/>
        </w:rPr>
        <w:t xml:space="preserve">selected household during the last three months, has leaved the household (moved out, has married, died etc.) in the month of the interview, the income of this member has to be reflected in the questionnaire during the interview, because the quarterly survey data covers last three months and by that time this </w:t>
      </w:r>
      <w:r w:rsidR="00A1737A" w:rsidRPr="00CE14AA">
        <w:rPr>
          <w:rStyle w:val="jlqj4b"/>
          <w:sz w:val="24"/>
          <w:szCs w:val="24"/>
          <w:lang w:val="en-GB"/>
        </w:rPr>
        <w:t xml:space="preserve">person is </w:t>
      </w:r>
      <w:r w:rsidR="00604461" w:rsidRPr="00CE14AA">
        <w:rPr>
          <w:rStyle w:val="jlqj4b"/>
          <w:sz w:val="24"/>
          <w:szCs w:val="24"/>
          <w:lang w:val="en-GB"/>
        </w:rPr>
        <w:t>deemed the member of th</w:t>
      </w:r>
      <w:r w:rsidR="00A1737A" w:rsidRPr="00CE14AA">
        <w:rPr>
          <w:rStyle w:val="jlqj4b"/>
          <w:sz w:val="24"/>
          <w:szCs w:val="24"/>
          <w:lang w:val="en-GB"/>
        </w:rPr>
        <w:t xml:space="preserve">e </w:t>
      </w:r>
      <w:r w:rsidR="00604461" w:rsidRPr="00CE14AA">
        <w:rPr>
          <w:rStyle w:val="jlqj4b"/>
          <w:sz w:val="24"/>
          <w:szCs w:val="24"/>
          <w:lang w:val="en-GB"/>
        </w:rPr>
        <w:t>household</w:t>
      </w:r>
      <w:r w:rsidR="00A1737A" w:rsidRPr="00CE14AA">
        <w:rPr>
          <w:rStyle w:val="jlqj4b"/>
          <w:sz w:val="24"/>
          <w:szCs w:val="24"/>
          <w:lang w:val="en-GB"/>
        </w:rPr>
        <w:t>.</w:t>
      </w:r>
      <w:r w:rsidR="001B50CC" w:rsidRPr="00CE14AA">
        <w:rPr>
          <w:rStyle w:val="jlqj4b"/>
          <w:sz w:val="24"/>
          <w:szCs w:val="24"/>
          <w:lang w:val="en-GB"/>
        </w:rPr>
        <w:t xml:space="preserve"> </w:t>
      </w:r>
    </w:p>
    <w:p w:rsidR="00CB621E" w:rsidRPr="00CE14AA" w:rsidRDefault="0004528C" w:rsidP="00604461">
      <w:pPr>
        <w:jc w:val="both"/>
        <w:rPr>
          <w:sz w:val="24"/>
          <w:szCs w:val="24"/>
          <w:lang w:val="en-GB"/>
        </w:rPr>
      </w:pPr>
      <w:r>
        <w:rPr>
          <w:rStyle w:val="lexftxsamp2t"/>
          <w:sz w:val="24"/>
          <w:szCs w:val="24"/>
          <w:lang w:val="en-GB"/>
        </w:rPr>
        <w:t xml:space="preserve">This differs </w:t>
      </w:r>
      <w:r w:rsidR="00A1737A" w:rsidRPr="00CE14AA">
        <w:rPr>
          <w:sz w:val="24"/>
          <w:szCs w:val="24"/>
          <w:lang w:val="en-GB"/>
        </w:rPr>
        <w:t xml:space="preserve">to the EU-SILC methodology, </w:t>
      </w:r>
      <w:r>
        <w:rPr>
          <w:sz w:val="24"/>
          <w:szCs w:val="24"/>
          <w:lang w:val="en-GB"/>
        </w:rPr>
        <w:t>which is based on current household membership (at</w:t>
      </w:r>
      <w:r w:rsidR="00C8449D">
        <w:rPr>
          <w:sz w:val="24"/>
          <w:szCs w:val="24"/>
          <w:lang w:val="en-GB"/>
        </w:rPr>
        <w:t> </w:t>
      </w:r>
      <w:r>
        <w:rPr>
          <w:sz w:val="24"/>
          <w:szCs w:val="24"/>
          <w:lang w:val="en-GB"/>
        </w:rPr>
        <w:t xml:space="preserve">the time of the interview) and where the income part of the questionnaire is </w:t>
      </w:r>
      <w:r w:rsidR="00A1737A" w:rsidRPr="00CE14AA">
        <w:rPr>
          <w:sz w:val="24"/>
          <w:szCs w:val="24"/>
          <w:lang w:val="en-GB"/>
        </w:rPr>
        <w:t>not fill</w:t>
      </w:r>
      <w:r>
        <w:rPr>
          <w:sz w:val="24"/>
          <w:szCs w:val="24"/>
          <w:lang w:val="en-GB"/>
        </w:rPr>
        <w:t>ed</w:t>
      </w:r>
      <w:r w:rsidR="00A1737A" w:rsidRPr="00CE14AA">
        <w:rPr>
          <w:sz w:val="24"/>
          <w:szCs w:val="24"/>
          <w:lang w:val="en-GB"/>
        </w:rPr>
        <w:t xml:space="preserve"> in </w:t>
      </w:r>
      <w:r>
        <w:rPr>
          <w:sz w:val="24"/>
          <w:szCs w:val="24"/>
          <w:lang w:val="en-GB"/>
        </w:rPr>
        <w:t xml:space="preserve">on behalf of the </w:t>
      </w:r>
      <w:r w:rsidRPr="00CE14AA">
        <w:rPr>
          <w:sz w:val="24"/>
          <w:szCs w:val="24"/>
          <w:lang w:val="en-GB"/>
        </w:rPr>
        <w:t>former household members</w:t>
      </w:r>
      <w:r>
        <w:rPr>
          <w:sz w:val="24"/>
          <w:szCs w:val="24"/>
          <w:lang w:val="en-GB"/>
        </w:rPr>
        <w:t>. T</w:t>
      </w:r>
      <w:r w:rsidR="00A1737A" w:rsidRPr="00CE14AA">
        <w:rPr>
          <w:sz w:val="24"/>
          <w:szCs w:val="24"/>
          <w:lang w:val="en-GB"/>
        </w:rPr>
        <w:t>he</w:t>
      </w:r>
      <w:r>
        <w:rPr>
          <w:sz w:val="24"/>
          <w:szCs w:val="24"/>
          <w:lang w:val="en-GB"/>
        </w:rPr>
        <w:t>se</w:t>
      </w:r>
      <w:r w:rsidR="00A1737A" w:rsidRPr="00CE14AA">
        <w:rPr>
          <w:sz w:val="24"/>
          <w:szCs w:val="24"/>
          <w:lang w:val="en-GB"/>
        </w:rPr>
        <w:t xml:space="preserve"> are no longer considered </w:t>
      </w:r>
      <w:r>
        <w:rPr>
          <w:sz w:val="24"/>
          <w:szCs w:val="24"/>
          <w:lang w:val="en-GB"/>
        </w:rPr>
        <w:t xml:space="preserve">as </w:t>
      </w:r>
      <w:r w:rsidR="00A1737A" w:rsidRPr="00CE14AA">
        <w:rPr>
          <w:sz w:val="24"/>
          <w:szCs w:val="24"/>
          <w:lang w:val="en-GB"/>
        </w:rPr>
        <w:t xml:space="preserve">household members at the date of the interview and </w:t>
      </w:r>
      <w:r>
        <w:rPr>
          <w:sz w:val="24"/>
          <w:szCs w:val="24"/>
          <w:lang w:val="en-GB"/>
        </w:rPr>
        <w:t>no</w:t>
      </w:r>
      <w:r w:rsidR="00A1737A" w:rsidRPr="00CE14AA">
        <w:rPr>
          <w:sz w:val="24"/>
          <w:szCs w:val="24"/>
          <w:lang w:val="en-GB"/>
        </w:rPr>
        <w:t xml:space="preserve"> information </w:t>
      </w:r>
      <w:r>
        <w:rPr>
          <w:sz w:val="24"/>
          <w:szCs w:val="24"/>
          <w:lang w:val="en-GB"/>
        </w:rPr>
        <w:t xml:space="preserve">is collected </w:t>
      </w:r>
      <w:r w:rsidR="00A1737A" w:rsidRPr="00CE14AA">
        <w:rPr>
          <w:sz w:val="24"/>
          <w:szCs w:val="24"/>
          <w:lang w:val="en-GB"/>
        </w:rPr>
        <w:t>about their income.</w:t>
      </w:r>
    </w:p>
    <w:p w:rsidR="00451C4E" w:rsidRDefault="0004528C" w:rsidP="005225F3">
      <w:pPr>
        <w:jc w:val="both"/>
        <w:rPr>
          <w:sz w:val="24"/>
          <w:szCs w:val="24"/>
          <w:lang w:val="en-GB"/>
        </w:rPr>
      </w:pPr>
      <w:r>
        <w:rPr>
          <w:sz w:val="24"/>
          <w:szCs w:val="24"/>
          <w:lang w:val="en-GB"/>
        </w:rPr>
        <w:t xml:space="preserve">This is also the case for </w:t>
      </w:r>
      <w:r w:rsidR="005225F3" w:rsidRPr="00CE14AA">
        <w:rPr>
          <w:sz w:val="24"/>
          <w:szCs w:val="24"/>
          <w:lang w:val="en-GB"/>
        </w:rPr>
        <w:t>the income of the</w:t>
      </w:r>
      <w:r w:rsidR="005225F3" w:rsidRPr="00CE14AA">
        <w:rPr>
          <w:spacing w:val="-20"/>
          <w:sz w:val="24"/>
          <w:szCs w:val="24"/>
          <w:lang w:val="en-GB"/>
        </w:rPr>
        <w:t xml:space="preserve"> </w:t>
      </w:r>
      <w:r w:rsidR="005225F3" w:rsidRPr="00CE14AA">
        <w:rPr>
          <w:sz w:val="24"/>
          <w:szCs w:val="24"/>
          <w:lang w:val="en-GB"/>
        </w:rPr>
        <w:t>deceased</w:t>
      </w:r>
      <w:r w:rsidR="00451C4E">
        <w:rPr>
          <w:sz w:val="24"/>
          <w:szCs w:val="24"/>
          <w:lang w:val="en-GB"/>
        </w:rPr>
        <w:t xml:space="preserve"> persons</w:t>
      </w:r>
      <w:r w:rsidR="00DE43B0" w:rsidRPr="00CE14AA">
        <w:rPr>
          <w:sz w:val="24"/>
          <w:szCs w:val="24"/>
          <w:lang w:val="en-GB"/>
        </w:rPr>
        <w:t xml:space="preserve">, despite the fact that he/she </w:t>
      </w:r>
      <w:r w:rsidR="005225F3" w:rsidRPr="00CE14AA">
        <w:rPr>
          <w:sz w:val="24"/>
          <w:szCs w:val="24"/>
          <w:lang w:val="en-GB"/>
        </w:rPr>
        <w:t>lived</w:t>
      </w:r>
      <w:r w:rsidR="00DE43B0" w:rsidRPr="00CE14AA">
        <w:rPr>
          <w:sz w:val="24"/>
          <w:szCs w:val="24"/>
          <w:lang w:val="en-GB"/>
        </w:rPr>
        <w:t xml:space="preserve"> </w:t>
      </w:r>
      <w:r w:rsidR="00451C4E">
        <w:rPr>
          <w:sz w:val="24"/>
          <w:szCs w:val="24"/>
          <w:lang w:val="en-GB"/>
        </w:rPr>
        <w:t>in the household</w:t>
      </w:r>
      <w:r w:rsidR="005225F3" w:rsidRPr="00CE14AA">
        <w:rPr>
          <w:sz w:val="24"/>
          <w:szCs w:val="24"/>
          <w:lang w:val="en-GB"/>
        </w:rPr>
        <w:t xml:space="preserve"> for the </w:t>
      </w:r>
      <w:r w:rsidR="00451C4E">
        <w:rPr>
          <w:sz w:val="24"/>
          <w:szCs w:val="24"/>
          <w:lang w:val="en-GB"/>
        </w:rPr>
        <w:t>part of or for the whole</w:t>
      </w:r>
      <w:r w:rsidR="005225F3" w:rsidRPr="00CE14AA">
        <w:rPr>
          <w:sz w:val="24"/>
          <w:szCs w:val="24"/>
          <w:lang w:val="en-GB"/>
        </w:rPr>
        <w:t xml:space="preserve"> income reference period and </w:t>
      </w:r>
      <w:r>
        <w:rPr>
          <w:sz w:val="24"/>
          <w:szCs w:val="24"/>
          <w:lang w:val="en-GB"/>
        </w:rPr>
        <w:t>contributed to the income of</w:t>
      </w:r>
      <w:r w:rsidR="005225F3" w:rsidRPr="00CE14AA">
        <w:rPr>
          <w:sz w:val="24"/>
          <w:szCs w:val="24"/>
          <w:lang w:val="en-GB"/>
        </w:rPr>
        <w:t xml:space="preserve"> the household</w:t>
      </w:r>
      <w:r w:rsidR="00451C4E">
        <w:rPr>
          <w:sz w:val="24"/>
          <w:szCs w:val="24"/>
          <w:lang w:val="en-GB"/>
        </w:rPr>
        <w:t xml:space="preserve"> in that period</w:t>
      </w:r>
      <w:r w:rsidR="005225F3" w:rsidRPr="00CE14AA">
        <w:rPr>
          <w:sz w:val="24"/>
          <w:szCs w:val="24"/>
          <w:lang w:val="en-GB"/>
        </w:rPr>
        <w:t>.</w:t>
      </w:r>
      <w:r w:rsidR="00DE43B0" w:rsidRPr="00CE14AA">
        <w:rPr>
          <w:sz w:val="24"/>
          <w:szCs w:val="24"/>
          <w:lang w:val="en-GB"/>
        </w:rPr>
        <w:t xml:space="preserve"> </w:t>
      </w:r>
    </w:p>
    <w:p w:rsidR="00451C4E" w:rsidRDefault="00451C4E" w:rsidP="005225F3">
      <w:pPr>
        <w:jc w:val="both"/>
        <w:rPr>
          <w:sz w:val="24"/>
          <w:szCs w:val="24"/>
          <w:lang w:val="en-GB"/>
        </w:rPr>
      </w:pPr>
      <w:r>
        <w:rPr>
          <w:sz w:val="24"/>
          <w:szCs w:val="24"/>
          <w:lang w:val="en-GB"/>
        </w:rPr>
        <w:lastRenderedPageBreak/>
        <w:t>The income reference period in EU-SILC is 12 months. Although floating income reference period of the last 12 month preceding the interview is generally allowed, all but one of the EU-SILC implementing countries use the last calendar year income reference period (including the Czech SILC survey).</w:t>
      </w:r>
    </w:p>
    <w:p w:rsidR="00451C4E" w:rsidRDefault="00451C4E" w:rsidP="005225F3">
      <w:pPr>
        <w:jc w:val="both"/>
        <w:rPr>
          <w:sz w:val="24"/>
          <w:szCs w:val="24"/>
          <w:lang w:val="en-GB"/>
        </w:rPr>
      </w:pPr>
      <w:r>
        <w:rPr>
          <w:sz w:val="24"/>
          <w:szCs w:val="24"/>
          <w:lang w:val="en-GB"/>
        </w:rPr>
        <w:t xml:space="preserve">The income reference period for collecting data in HIES is shorter, derived from its quarterly nature – 3 months. This shorter reference period </w:t>
      </w:r>
      <w:r w:rsidR="00880AAF">
        <w:rPr>
          <w:sz w:val="24"/>
          <w:szCs w:val="24"/>
          <w:lang w:val="en-GB"/>
        </w:rPr>
        <w:t>will tend to decrease the potential impact of</w:t>
      </w:r>
      <w:r w:rsidR="00720B90">
        <w:rPr>
          <w:sz w:val="24"/>
          <w:szCs w:val="24"/>
          <w:lang w:val="en-GB"/>
        </w:rPr>
        <w:t> </w:t>
      </w:r>
      <w:r w:rsidR="00880AAF">
        <w:rPr>
          <w:sz w:val="24"/>
          <w:szCs w:val="24"/>
          <w:lang w:val="en-GB"/>
        </w:rPr>
        <w:t>this household membership methodological difference on the indicators.</w:t>
      </w:r>
    </w:p>
    <w:p w:rsidR="00880AAF" w:rsidRPr="00880AAF" w:rsidRDefault="00880AAF" w:rsidP="005225F3">
      <w:pPr>
        <w:jc w:val="both"/>
        <w:rPr>
          <w:i/>
          <w:sz w:val="24"/>
          <w:szCs w:val="24"/>
          <w:lang w:val="en-GB"/>
        </w:rPr>
      </w:pPr>
      <w:r w:rsidRPr="00880AAF">
        <w:rPr>
          <w:i/>
          <w:sz w:val="24"/>
          <w:szCs w:val="24"/>
          <w:lang w:val="en-GB"/>
        </w:rPr>
        <w:t xml:space="preserve">Related issue to be discussed and further assessed: link between the </w:t>
      </w:r>
      <w:r w:rsidR="00720B90" w:rsidRPr="00880AAF">
        <w:rPr>
          <w:i/>
          <w:sz w:val="24"/>
          <w:szCs w:val="24"/>
          <w:lang w:val="en-GB"/>
        </w:rPr>
        <w:t xml:space="preserve">coverage of persons </w:t>
      </w:r>
      <w:r w:rsidRPr="00880AAF">
        <w:rPr>
          <w:i/>
          <w:sz w:val="24"/>
          <w:szCs w:val="24"/>
          <w:lang w:val="en-GB"/>
        </w:rPr>
        <w:t>“duri</w:t>
      </w:r>
      <w:r w:rsidR="00720B90">
        <w:rPr>
          <w:i/>
          <w:sz w:val="24"/>
          <w:szCs w:val="24"/>
          <w:lang w:val="en-GB"/>
        </w:rPr>
        <w:t xml:space="preserve">ng the income reference period” </w:t>
      </w:r>
      <w:r w:rsidRPr="00880AAF">
        <w:rPr>
          <w:i/>
          <w:sz w:val="24"/>
          <w:szCs w:val="24"/>
          <w:lang w:val="en-GB"/>
        </w:rPr>
        <w:t xml:space="preserve">and household composition data, </w:t>
      </w:r>
      <w:r w:rsidR="00720B90">
        <w:rPr>
          <w:i/>
          <w:sz w:val="24"/>
          <w:szCs w:val="24"/>
          <w:lang w:val="en-GB"/>
        </w:rPr>
        <w:t xml:space="preserve">an </w:t>
      </w:r>
      <w:r w:rsidRPr="00880AAF">
        <w:rPr>
          <w:i/>
          <w:sz w:val="24"/>
          <w:szCs w:val="24"/>
          <w:lang w:val="en-GB"/>
        </w:rPr>
        <w:t>impact on the</w:t>
      </w:r>
      <w:r w:rsidR="00720B90">
        <w:rPr>
          <w:i/>
          <w:sz w:val="24"/>
          <w:szCs w:val="24"/>
          <w:lang w:val="en-GB"/>
        </w:rPr>
        <w:t xml:space="preserve"> </w:t>
      </w:r>
      <w:r w:rsidRPr="00880AAF">
        <w:rPr>
          <w:i/>
          <w:sz w:val="24"/>
          <w:szCs w:val="24"/>
          <w:lang w:val="en-GB"/>
        </w:rPr>
        <w:t>calculation of the 12 month reference period income equivalent</w:t>
      </w:r>
      <w:r w:rsidR="007F3DFD">
        <w:rPr>
          <w:i/>
          <w:sz w:val="24"/>
          <w:szCs w:val="24"/>
          <w:lang w:val="en-GB"/>
        </w:rPr>
        <w:t>.</w:t>
      </w:r>
    </w:p>
    <w:p w:rsidR="00AB17B8" w:rsidRDefault="00AB17B8" w:rsidP="00AB17B8">
      <w:pPr>
        <w:pStyle w:val="Undertitel"/>
        <w:spacing w:before="120" w:after="120"/>
      </w:pPr>
    </w:p>
    <w:p w:rsidR="004259BD" w:rsidRPr="00604461" w:rsidRDefault="004259BD" w:rsidP="00605D9D">
      <w:pPr>
        <w:spacing w:after="200"/>
        <w:rPr>
          <w:rStyle w:val="jlqj4b"/>
          <w:b/>
          <w:sz w:val="42"/>
          <w:szCs w:val="42"/>
          <w:lang w:val="en-GB"/>
        </w:rPr>
      </w:pPr>
      <w:r w:rsidRPr="0080704E">
        <w:rPr>
          <w:rStyle w:val="jlqj4b"/>
          <w:b/>
          <w:sz w:val="42"/>
          <w:szCs w:val="42"/>
          <w:lang w:val="en-GB"/>
          <w14:textOutline w14:w="9525" w14:cap="rnd" w14:cmpd="sng" w14:algn="ctr">
            <w14:solidFill>
              <w14:schemeClr w14:val="accent1"/>
            </w14:solidFill>
            <w14:prstDash w14:val="solid"/>
            <w14:bevel/>
          </w14:textOutline>
        </w:rPr>
        <w:t>Comparison of Income Components – HIES, Georgia</w:t>
      </w:r>
    </w:p>
    <w:p w:rsidR="004259BD" w:rsidRPr="00D263A4" w:rsidRDefault="004259BD" w:rsidP="004259BD">
      <w:pPr>
        <w:spacing w:after="0"/>
        <w:jc w:val="both"/>
        <w:rPr>
          <w:rStyle w:val="jlqj4b"/>
          <w:sz w:val="24"/>
          <w:szCs w:val="24"/>
          <w:lang w:val="en-GB"/>
        </w:rPr>
      </w:pPr>
      <w:r>
        <w:rPr>
          <w:rFonts w:eastAsia="Times New Roman" w:cstheme="minorHAnsi"/>
          <w:sz w:val="24"/>
          <w:szCs w:val="24"/>
          <w:lang w:val="en-GB" w:eastAsia="cs-CZ"/>
        </w:rPr>
        <w:t>This part of the study</w:t>
      </w:r>
      <w:r w:rsidRPr="00D263A4">
        <w:rPr>
          <w:rFonts w:eastAsia="Times New Roman" w:cstheme="minorHAnsi"/>
          <w:sz w:val="24"/>
          <w:szCs w:val="24"/>
          <w:lang w:val="en-GB" w:eastAsia="cs-CZ"/>
        </w:rPr>
        <w:t xml:space="preserve"> compare</w:t>
      </w:r>
      <w:r>
        <w:rPr>
          <w:rFonts w:eastAsia="Times New Roman" w:cstheme="minorHAnsi"/>
          <w:sz w:val="24"/>
          <w:szCs w:val="24"/>
          <w:lang w:val="en-GB" w:eastAsia="cs-CZ"/>
        </w:rPr>
        <w:t>s</w:t>
      </w:r>
      <w:r w:rsidRPr="00D263A4">
        <w:rPr>
          <w:rFonts w:eastAsia="Times New Roman" w:cstheme="minorHAnsi"/>
          <w:sz w:val="24"/>
          <w:szCs w:val="24"/>
          <w:lang w:val="en-GB" w:eastAsia="cs-CZ"/>
        </w:rPr>
        <w:t xml:space="preserve"> the methodology of the Georgian HIES survey (H</w:t>
      </w:r>
      <w:r w:rsidRPr="00D263A4">
        <w:rPr>
          <w:rStyle w:val="Strk"/>
          <w:rFonts w:asciiTheme="minorHAnsi" w:hAnsiTheme="minorHAnsi" w:cstheme="minorHAnsi"/>
          <w:b w:val="0"/>
          <w:i w:val="0"/>
          <w:sz w:val="24"/>
          <w:szCs w:val="24"/>
          <w:lang w:val="en-GB"/>
        </w:rPr>
        <w:t xml:space="preserve">ousehold Income and Expenditure Survey) </w:t>
      </w:r>
      <w:r w:rsidRPr="00D263A4">
        <w:rPr>
          <w:rFonts w:eastAsia="Times New Roman" w:cstheme="minorHAnsi"/>
          <w:sz w:val="24"/>
          <w:szCs w:val="24"/>
          <w:lang w:val="en-GB" w:eastAsia="cs-CZ"/>
        </w:rPr>
        <w:t>and European definitions of EU-SILC (Survey on Income and Living Conditions).</w:t>
      </w:r>
      <w:r w:rsidRPr="0002288D">
        <w:rPr>
          <w:rFonts w:eastAsia="Times New Roman" w:cstheme="minorHAnsi"/>
          <w:sz w:val="24"/>
          <w:szCs w:val="24"/>
          <w:lang w:val="en-GB" w:eastAsia="cs-CZ"/>
        </w:rPr>
        <w:t xml:space="preserve"> </w:t>
      </w:r>
      <w:r>
        <w:rPr>
          <w:rFonts w:eastAsia="Times New Roman" w:cstheme="minorHAnsi"/>
          <w:sz w:val="24"/>
          <w:szCs w:val="24"/>
          <w:lang w:val="en-GB" w:eastAsia="cs-CZ"/>
        </w:rPr>
        <w:t>It is b</w:t>
      </w:r>
      <w:r w:rsidRPr="00D263A4">
        <w:rPr>
          <w:rStyle w:val="jlqj4b"/>
          <w:sz w:val="24"/>
          <w:szCs w:val="24"/>
          <w:lang w:val="en-GB"/>
        </w:rPr>
        <w:t xml:space="preserve">ased on a detailed reading of the Georgian guidelines of HIES 2019, </w:t>
      </w:r>
      <w:r>
        <w:rPr>
          <w:rStyle w:val="jlqj4b"/>
          <w:sz w:val="24"/>
          <w:szCs w:val="24"/>
          <w:lang w:val="en-GB"/>
        </w:rPr>
        <w:t>and aims at summarizing</w:t>
      </w:r>
      <w:r w:rsidRPr="00D263A4">
        <w:rPr>
          <w:rStyle w:val="jlqj4b"/>
          <w:sz w:val="24"/>
          <w:szCs w:val="24"/>
          <w:lang w:val="en-GB"/>
        </w:rPr>
        <w:t xml:space="preserve"> the </w:t>
      </w:r>
      <w:r>
        <w:rPr>
          <w:rStyle w:val="jlqj4b"/>
          <w:sz w:val="24"/>
          <w:szCs w:val="24"/>
          <w:lang w:val="en-GB"/>
        </w:rPr>
        <w:t xml:space="preserve">indicated </w:t>
      </w:r>
      <w:r w:rsidRPr="00D263A4">
        <w:rPr>
          <w:rStyle w:val="jlqj4b"/>
          <w:sz w:val="24"/>
          <w:szCs w:val="24"/>
          <w:lang w:val="en-GB"/>
        </w:rPr>
        <w:t xml:space="preserve">differences found </w:t>
      </w:r>
      <w:r>
        <w:rPr>
          <w:rStyle w:val="jlqj4b"/>
          <w:sz w:val="24"/>
          <w:szCs w:val="24"/>
          <w:lang w:val="en-GB"/>
        </w:rPr>
        <w:t>compared to</w:t>
      </w:r>
      <w:r w:rsidRPr="00D263A4">
        <w:rPr>
          <w:rStyle w:val="jlqj4b"/>
          <w:sz w:val="24"/>
          <w:szCs w:val="24"/>
          <w:lang w:val="en-GB"/>
        </w:rPr>
        <w:t xml:space="preserve"> the </w:t>
      </w:r>
      <w:r>
        <w:rPr>
          <w:rStyle w:val="jlqj4b"/>
          <w:sz w:val="24"/>
          <w:szCs w:val="24"/>
          <w:lang w:val="en-GB"/>
        </w:rPr>
        <w:t xml:space="preserve">income definitions and detailed component concepts used in the methodology of the </w:t>
      </w:r>
      <w:r w:rsidRPr="00D263A4">
        <w:rPr>
          <w:rStyle w:val="jlqj4b"/>
          <w:sz w:val="24"/>
          <w:szCs w:val="24"/>
          <w:lang w:val="en-GB"/>
        </w:rPr>
        <w:t>E</w:t>
      </w:r>
      <w:r w:rsidRPr="00D263A4">
        <w:rPr>
          <w:rFonts w:eastAsia="Times New Roman" w:cstheme="minorHAnsi"/>
          <w:sz w:val="24"/>
          <w:szCs w:val="24"/>
          <w:lang w:val="en-GB" w:eastAsia="cs-CZ"/>
        </w:rPr>
        <w:t>uropean</w:t>
      </w:r>
      <w:r>
        <w:rPr>
          <w:rFonts w:eastAsia="Times New Roman" w:cstheme="minorHAnsi"/>
          <w:sz w:val="24"/>
          <w:szCs w:val="24"/>
          <w:lang w:val="en-GB" w:eastAsia="cs-CZ"/>
        </w:rPr>
        <w:t xml:space="preserve"> set</w:t>
      </w:r>
      <w:r w:rsidRPr="00D263A4">
        <w:rPr>
          <w:rFonts w:eastAsia="Times New Roman" w:cstheme="minorHAnsi"/>
          <w:sz w:val="24"/>
          <w:szCs w:val="24"/>
          <w:lang w:val="en-GB" w:eastAsia="cs-CZ"/>
        </w:rPr>
        <w:t xml:space="preserve"> </w:t>
      </w:r>
      <w:r>
        <w:rPr>
          <w:rFonts w:eastAsia="Times New Roman" w:cstheme="minorHAnsi"/>
          <w:sz w:val="24"/>
          <w:szCs w:val="24"/>
          <w:lang w:val="en-GB" w:eastAsia="cs-CZ"/>
        </w:rPr>
        <w:t xml:space="preserve">of </w:t>
      </w:r>
      <w:r w:rsidRPr="00D263A4">
        <w:rPr>
          <w:rFonts w:eastAsia="Times New Roman" w:cstheme="minorHAnsi"/>
          <w:sz w:val="24"/>
          <w:szCs w:val="24"/>
          <w:lang w:val="en-GB" w:eastAsia="cs-CZ"/>
        </w:rPr>
        <w:t>indicators</w:t>
      </w:r>
      <w:r>
        <w:rPr>
          <w:rFonts w:eastAsia="Times New Roman" w:cstheme="minorHAnsi"/>
          <w:sz w:val="24"/>
          <w:szCs w:val="24"/>
          <w:lang w:val="en-GB" w:eastAsia="cs-CZ"/>
        </w:rPr>
        <w:t xml:space="preserve">. </w:t>
      </w:r>
      <w:r>
        <w:rPr>
          <w:rStyle w:val="jlqj4b"/>
          <w:sz w:val="24"/>
          <w:szCs w:val="24"/>
          <w:lang w:val="en-GB"/>
        </w:rPr>
        <w:t xml:space="preserve">It also refers to some examples from the data collection guidelines and recommendations, as applied in the shared EU_SILC guidelines and in </w:t>
      </w:r>
      <w:r w:rsidRPr="00D263A4">
        <w:rPr>
          <w:rStyle w:val="jlqj4b"/>
          <w:sz w:val="24"/>
          <w:szCs w:val="24"/>
          <w:lang w:val="en-GB"/>
        </w:rPr>
        <w:t>the Czech version of EU-SILC</w:t>
      </w:r>
      <w:r>
        <w:rPr>
          <w:rStyle w:val="jlqj4b"/>
          <w:sz w:val="24"/>
          <w:szCs w:val="24"/>
          <w:lang w:val="en-GB"/>
        </w:rPr>
        <w:t xml:space="preserve"> income components data collection based on them.</w:t>
      </w:r>
    </w:p>
    <w:p w:rsidR="001B50CC" w:rsidRPr="002B2C15" w:rsidRDefault="001B50CC" w:rsidP="002B2C15">
      <w:pPr>
        <w:pStyle w:val="Undertitel"/>
      </w:pPr>
      <w:r w:rsidRPr="002B2C15">
        <w:t>Part I</w:t>
      </w:r>
      <w:r w:rsidR="009945CF">
        <w:t xml:space="preserve"> –</w:t>
      </w:r>
      <w:r w:rsidRPr="002B2C15">
        <w:t xml:space="preserve"> 1. Allowances</w:t>
      </w:r>
    </w:p>
    <w:p w:rsidR="00E35789" w:rsidRPr="00D003A4" w:rsidRDefault="00E35789" w:rsidP="005225F3">
      <w:pPr>
        <w:jc w:val="both"/>
        <w:rPr>
          <w:sz w:val="24"/>
          <w:szCs w:val="24"/>
          <w:lang w:val="en-GB"/>
        </w:rPr>
      </w:pPr>
      <w:r w:rsidRPr="00D003A4">
        <w:rPr>
          <w:sz w:val="24"/>
          <w:szCs w:val="24"/>
          <w:lang w:val="en-GB"/>
        </w:rPr>
        <w:t>Georgia has a specific allowance for internally displaced persons</w:t>
      </w:r>
      <w:r w:rsidR="004259BD" w:rsidRPr="00D003A4">
        <w:rPr>
          <w:sz w:val="24"/>
          <w:szCs w:val="24"/>
          <w:lang w:val="en-GB"/>
        </w:rPr>
        <w:t xml:space="preserve">. This type of allowance is not explicitly assessed and classified in the EU-SILC benefits scheme. This can be attributed to the fact, that </w:t>
      </w:r>
      <w:r w:rsidRPr="00D003A4">
        <w:rPr>
          <w:sz w:val="24"/>
          <w:szCs w:val="24"/>
          <w:lang w:val="en-GB"/>
        </w:rPr>
        <w:t>no</w:t>
      </w:r>
      <w:r w:rsidR="00A77CD8" w:rsidRPr="00D003A4">
        <w:rPr>
          <w:sz w:val="24"/>
          <w:szCs w:val="24"/>
          <w:lang w:val="en-GB"/>
        </w:rPr>
        <w:t xml:space="preserve"> </w:t>
      </w:r>
      <w:r w:rsidRPr="00D003A4">
        <w:rPr>
          <w:sz w:val="24"/>
          <w:szCs w:val="24"/>
          <w:lang w:val="en-GB"/>
        </w:rPr>
        <w:t>such social contribution</w:t>
      </w:r>
      <w:r w:rsidR="004259BD" w:rsidRPr="00D003A4">
        <w:rPr>
          <w:sz w:val="24"/>
          <w:szCs w:val="24"/>
          <w:lang w:val="en-GB"/>
        </w:rPr>
        <w:t xml:space="preserve"> was identified in the EU-SILC countries</w:t>
      </w:r>
      <w:r w:rsidRPr="00D003A4">
        <w:rPr>
          <w:sz w:val="24"/>
          <w:szCs w:val="24"/>
          <w:lang w:val="en-GB"/>
        </w:rPr>
        <w:t>. It is</w:t>
      </w:r>
      <w:r w:rsidR="004259BD" w:rsidRPr="00D003A4">
        <w:rPr>
          <w:sz w:val="24"/>
          <w:szCs w:val="24"/>
          <w:lang w:val="en-GB"/>
        </w:rPr>
        <w:t>, of course,</w:t>
      </w:r>
      <w:r w:rsidRPr="00D003A4">
        <w:rPr>
          <w:sz w:val="24"/>
          <w:szCs w:val="24"/>
          <w:lang w:val="en-GB"/>
        </w:rPr>
        <w:t xml:space="preserve"> perfectly OK that this financial assistance is surveyed </w:t>
      </w:r>
      <w:r w:rsidR="00A77CD8" w:rsidRPr="00D003A4">
        <w:rPr>
          <w:sz w:val="24"/>
          <w:szCs w:val="24"/>
          <w:lang w:val="en-GB"/>
        </w:rPr>
        <w:t xml:space="preserve">in HIES </w:t>
      </w:r>
      <w:r w:rsidRPr="00D003A4">
        <w:rPr>
          <w:sz w:val="24"/>
          <w:szCs w:val="24"/>
          <w:lang w:val="en-GB"/>
        </w:rPr>
        <w:t>within social benefits</w:t>
      </w:r>
      <w:r w:rsidR="00A77CD8" w:rsidRPr="00D003A4">
        <w:rPr>
          <w:sz w:val="24"/>
          <w:szCs w:val="24"/>
          <w:lang w:val="en-GB"/>
        </w:rPr>
        <w:t xml:space="preserve"> and state social support</w:t>
      </w:r>
      <w:r w:rsidR="004259BD" w:rsidRPr="00D003A4">
        <w:rPr>
          <w:sz w:val="24"/>
          <w:szCs w:val="24"/>
          <w:lang w:val="en-GB"/>
        </w:rPr>
        <w:t>, as it seemed to contribute to the regular income of a certain type of Georgian households</w:t>
      </w:r>
      <w:r w:rsidRPr="00D003A4">
        <w:rPr>
          <w:sz w:val="24"/>
          <w:szCs w:val="24"/>
          <w:lang w:val="en-GB"/>
        </w:rPr>
        <w:t xml:space="preserve">.  </w:t>
      </w:r>
    </w:p>
    <w:p w:rsidR="004A2D5B" w:rsidRDefault="004259BD" w:rsidP="005225F3">
      <w:pPr>
        <w:jc w:val="both"/>
        <w:rPr>
          <w:i/>
          <w:sz w:val="24"/>
          <w:szCs w:val="24"/>
          <w:lang w:val="en-GB"/>
        </w:rPr>
      </w:pPr>
      <w:r w:rsidRPr="00880AAF">
        <w:rPr>
          <w:i/>
          <w:sz w:val="24"/>
          <w:szCs w:val="24"/>
          <w:lang w:val="en-GB"/>
        </w:rPr>
        <w:t xml:space="preserve">Related issue to be discussed and further assessed: </w:t>
      </w:r>
      <w:r w:rsidR="00C30F1C">
        <w:rPr>
          <w:i/>
          <w:sz w:val="24"/>
          <w:szCs w:val="24"/>
          <w:lang w:val="en-GB"/>
        </w:rPr>
        <w:t>the nature of this benefit, in terms of its regular income support “current” nature vs. possible one-off capital transfer nature,</w:t>
      </w:r>
      <w:r w:rsidR="00D003A4">
        <w:rPr>
          <w:i/>
          <w:sz w:val="24"/>
          <w:szCs w:val="24"/>
          <w:lang w:val="en-GB"/>
        </w:rPr>
        <w:t xml:space="preserve"> </w:t>
      </w:r>
      <w:r w:rsidR="00C30F1C">
        <w:rPr>
          <w:i/>
          <w:sz w:val="24"/>
          <w:szCs w:val="24"/>
          <w:lang w:val="en-GB"/>
        </w:rPr>
        <w:t>assessment of its placement into ESSPROS scheme</w:t>
      </w:r>
      <w:r w:rsidR="004A2D5B">
        <w:rPr>
          <w:i/>
          <w:sz w:val="24"/>
          <w:szCs w:val="24"/>
          <w:lang w:val="en-GB"/>
        </w:rPr>
        <w:t>.</w:t>
      </w:r>
    </w:p>
    <w:p w:rsidR="002B2C15" w:rsidRPr="007465A7" w:rsidRDefault="002B2C15" w:rsidP="0008383A">
      <w:pPr>
        <w:pStyle w:val="Undertitel"/>
        <w:rPr>
          <w:lang w:val="en-GB"/>
        </w:rPr>
      </w:pPr>
      <w:r w:rsidRPr="006C2068">
        <w:t>Part I</w:t>
      </w:r>
      <w:r w:rsidR="009945CF" w:rsidRPr="006C2068">
        <w:t xml:space="preserve"> – </w:t>
      </w:r>
      <w:r w:rsidRPr="006C2068">
        <w:t>2.</w:t>
      </w:r>
      <w:r w:rsidRPr="007465A7">
        <w:rPr>
          <w:lang w:val="en-GB"/>
        </w:rPr>
        <w:t xml:space="preserve"> </w:t>
      </w:r>
      <w:r>
        <w:rPr>
          <w:lang w:val="en-GB"/>
        </w:rPr>
        <w:t>Gifts</w:t>
      </w:r>
    </w:p>
    <w:p w:rsidR="0011642C" w:rsidRDefault="00C30F1C" w:rsidP="002B2C15">
      <w:pPr>
        <w:jc w:val="both"/>
        <w:rPr>
          <w:rStyle w:val="jlqj4b"/>
          <w:sz w:val="24"/>
          <w:szCs w:val="24"/>
          <w:lang w:val="en"/>
        </w:rPr>
      </w:pPr>
      <w:r>
        <w:rPr>
          <w:sz w:val="24"/>
          <w:szCs w:val="24"/>
          <w:lang w:val="en-GB"/>
        </w:rPr>
        <w:t>The</w:t>
      </w:r>
      <w:r w:rsidR="002B2C15" w:rsidRPr="0070158F">
        <w:rPr>
          <w:sz w:val="24"/>
          <w:szCs w:val="24"/>
          <w:lang w:val="en-GB"/>
        </w:rPr>
        <w:t xml:space="preserve"> </w:t>
      </w:r>
      <w:r w:rsidR="00A77CD8" w:rsidRPr="0070158F">
        <w:rPr>
          <w:sz w:val="24"/>
          <w:szCs w:val="24"/>
          <w:lang w:val="en-GB"/>
        </w:rPr>
        <w:t>Georgian</w:t>
      </w:r>
      <w:r>
        <w:rPr>
          <w:sz w:val="24"/>
          <w:szCs w:val="24"/>
          <w:lang w:val="en-GB"/>
        </w:rPr>
        <w:t xml:space="preserve"> HIES</w:t>
      </w:r>
      <w:r w:rsidR="00A77CD8" w:rsidRPr="0070158F">
        <w:rPr>
          <w:sz w:val="24"/>
          <w:szCs w:val="24"/>
          <w:lang w:val="en-GB"/>
        </w:rPr>
        <w:t xml:space="preserve"> questionnaire </w:t>
      </w:r>
      <w:r w:rsidR="00A77CD8" w:rsidRPr="0070158F">
        <w:rPr>
          <w:rStyle w:val="jlqj4b"/>
          <w:sz w:val="24"/>
          <w:szCs w:val="24"/>
          <w:lang w:val="en"/>
        </w:rPr>
        <w:t>contains</w:t>
      </w:r>
      <w:r w:rsidR="00A77CD8" w:rsidRPr="0070158F">
        <w:rPr>
          <w:sz w:val="24"/>
          <w:szCs w:val="24"/>
        </w:rPr>
        <w:t xml:space="preserve"> </w:t>
      </w:r>
      <w:r w:rsidR="00A77CD8" w:rsidRPr="0070158F">
        <w:rPr>
          <w:sz w:val="24"/>
          <w:szCs w:val="24"/>
          <w:lang w:val="en-GB"/>
        </w:rPr>
        <w:t>a separate table for all possible gifts</w:t>
      </w:r>
      <w:r w:rsidR="00885A08">
        <w:rPr>
          <w:sz w:val="24"/>
          <w:szCs w:val="24"/>
          <w:lang w:val="en-GB"/>
        </w:rPr>
        <w:t xml:space="preserve">. </w:t>
      </w:r>
      <w:r w:rsidR="0011642C" w:rsidRPr="0070158F">
        <w:rPr>
          <w:sz w:val="24"/>
          <w:szCs w:val="24"/>
          <w:lang w:val="en-GB"/>
        </w:rPr>
        <w:t>T</w:t>
      </w:r>
      <w:r w:rsidR="003F1E3C">
        <w:rPr>
          <w:rStyle w:val="Strk"/>
          <w:rFonts w:asciiTheme="minorHAnsi" w:hAnsiTheme="minorHAnsi" w:cstheme="minorHAnsi"/>
          <w:b w:val="0"/>
          <w:i w:val="0"/>
          <w:sz w:val="24"/>
          <w:szCs w:val="24"/>
          <w:lang w:val="en-GB"/>
        </w:rPr>
        <w:t>he i</w:t>
      </w:r>
      <w:r w:rsidR="00A77CD8" w:rsidRPr="0070158F">
        <w:rPr>
          <w:rStyle w:val="Strk"/>
          <w:rFonts w:asciiTheme="minorHAnsi" w:hAnsiTheme="minorHAnsi" w:cstheme="minorHAnsi"/>
          <w:b w:val="0"/>
          <w:i w:val="0"/>
          <w:sz w:val="24"/>
          <w:szCs w:val="24"/>
          <w:lang w:val="en-GB"/>
        </w:rPr>
        <w:t xml:space="preserve">nstructions for interviewers </w:t>
      </w:r>
      <w:r w:rsidR="00A77CD8" w:rsidRPr="0070158F">
        <w:rPr>
          <w:rStyle w:val="jlqj4b"/>
          <w:sz w:val="24"/>
          <w:szCs w:val="24"/>
          <w:lang w:val="en"/>
        </w:rPr>
        <w:t>give</w:t>
      </w:r>
      <w:r w:rsidR="00A77CD8" w:rsidRPr="0070158F">
        <w:rPr>
          <w:sz w:val="24"/>
          <w:szCs w:val="24"/>
          <w:lang w:val="en-GB"/>
        </w:rPr>
        <w:t xml:space="preserve"> </w:t>
      </w:r>
      <w:r w:rsidR="00A77CD8" w:rsidRPr="0070158F">
        <w:rPr>
          <w:rStyle w:val="jlqj4b"/>
          <w:sz w:val="24"/>
          <w:szCs w:val="24"/>
          <w:lang w:val="en"/>
        </w:rPr>
        <w:t>some</w:t>
      </w:r>
      <w:r>
        <w:rPr>
          <w:rStyle w:val="jlqj4b"/>
          <w:sz w:val="24"/>
          <w:szCs w:val="24"/>
          <w:lang w:val="en"/>
        </w:rPr>
        <w:t xml:space="preserve"> detailed</w:t>
      </w:r>
      <w:r w:rsidR="00A77CD8" w:rsidRPr="0070158F">
        <w:rPr>
          <w:rStyle w:val="jlqj4b"/>
          <w:sz w:val="24"/>
          <w:szCs w:val="24"/>
          <w:lang w:val="en"/>
        </w:rPr>
        <w:t xml:space="preserve"> examples</w:t>
      </w:r>
      <w:r>
        <w:rPr>
          <w:rStyle w:val="jlqj4b"/>
          <w:sz w:val="24"/>
          <w:szCs w:val="24"/>
          <w:lang w:val="en"/>
        </w:rPr>
        <w:t xml:space="preserve"> extending their coverage</w:t>
      </w:r>
      <w:r w:rsidR="0011642C" w:rsidRPr="0070158F">
        <w:rPr>
          <w:rStyle w:val="jlqj4b"/>
          <w:sz w:val="24"/>
          <w:szCs w:val="24"/>
          <w:lang w:val="en"/>
        </w:rPr>
        <w:t xml:space="preserve">, such as the value of a perfume or the price of </w:t>
      </w:r>
      <w:r w:rsidR="006B0981" w:rsidRPr="0070158F">
        <w:rPr>
          <w:rStyle w:val="jlqj4b"/>
          <w:sz w:val="24"/>
          <w:szCs w:val="24"/>
          <w:lang w:val="en"/>
        </w:rPr>
        <w:t xml:space="preserve">a </w:t>
      </w:r>
      <w:r w:rsidR="0011642C" w:rsidRPr="0070158F">
        <w:rPr>
          <w:rStyle w:val="jlqj4b"/>
          <w:sz w:val="24"/>
          <w:szCs w:val="24"/>
          <w:lang w:val="en"/>
        </w:rPr>
        <w:t xml:space="preserve">refrigerator </w:t>
      </w:r>
      <w:r w:rsidR="0011642C" w:rsidRPr="0070158F">
        <w:rPr>
          <w:sz w:val="24"/>
          <w:szCs w:val="24"/>
          <w:lang w:val="en-GB"/>
        </w:rPr>
        <w:t xml:space="preserve">or even a slaughter cattle </w:t>
      </w:r>
      <w:r w:rsidR="0011642C" w:rsidRPr="0070158F">
        <w:rPr>
          <w:rStyle w:val="jlqj4b"/>
          <w:sz w:val="24"/>
          <w:szCs w:val="24"/>
          <w:lang w:val="en"/>
        </w:rPr>
        <w:t xml:space="preserve">received on the wedding date. </w:t>
      </w:r>
    </w:p>
    <w:p w:rsidR="007E52B2" w:rsidRPr="0008383A" w:rsidRDefault="007E52B2" w:rsidP="007E52B2">
      <w:pPr>
        <w:jc w:val="both"/>
        <w:rPr>
          <w:rStyle w:val="jlqj4b"/>
          <w:sz w:val="24"/>
          <w:szCs w:val="24"/>
          <w:lang w:val="en"/>
        </w:rPr>
      </w:pPr>
      <w:r w:rsidRPr="0008383A">
        <w:rPr>
          <w:rStyle w:val="jlqj4b"/>
          <w:sz w:val="24"/>
          <w:szCs w:val="24"/>
          <w:lang w:val="en"/>
        </w:rPr>
        <w:t xml:space="preserve">Irregular gifts are not included in the income definition for the EU income based indicators. </w:t>
      </w:r>
    </w:p>
    <w:p w:rsidR="007E52B2" w:rsidRPr="0008383A" w:rsidRDefault="007E52B2" w:rsidP="007E52B2">
      <w:pPr>
        <w:jc w:val="both"/>
        <w:rPr>
          <w:i/>
          <w:sz w:val="24"/>
          <w:szCs w:val="24"/>
          <w:lang w:val="en-GB"/>
        </w:rPr>
      </w:pPr>
      <w:r w:rsidRPr="0008383A">
        <w:rPr>
          <w:i/>
          <w:sz w:val="24"/>
          <w:szCs w:val="24"/>
          <w:lang w:val="en-GB"/>
        </w:rPr>
        <w:t>Related issue to be discussed and further assessed: inclusion of this item in the total disposable income for calculation of the EU indicators.</w:t>
      </w:r>
    </w:p>
    <w:p w:rsidR="0030667B" w:rsidRDefault="0030667B" w:rsidP="0030667B">
      <w:pPr>
        <w:pStyle w:val="Undertitel"/>
        <w:rPr>
          <w:szCs w:val="24"/>
          <w:lang w:val="en-GB"/>
        </w:rPr>
      </w:pPr>
      <w:r w:rsidRPr="007465A7">
        <w:rPr>
          <w:lang w:val="en-GB"/>
        </w:rPr>
        <w:lastRenderedPageBreak/>
        <w:t>Part I</w:t>
      </w:r>
      <w:r w:rsidR="009945CF">
        <w:rPr>
          <w:lang w:val="en-GB"/>
        </w:rPr>
        <w:t xml:space="preserve"> </w:t>
      </w:r>
      <w:r w:rsidR="009945CF">
        <w:t xml:space="preserve">– </w:t>
      </w:r>
      <w:r>
        <w:rPr>
          <w:lang w:val="en-GB"/>
        </w:rPr>
        <w:t>3</w:t>
      </w:r>
      <w:r w:rsidRPr="007465A7">
        <w:rPr>
          <w:lang w:val="en-GB"/>
        </w:rPr>
        <w:t xml:space="preserve">. </w:t>
      </w:r>
      <w:r w:rsidRPr="0030667B">
        <w:rPr>
          <w:szCs w:val="24"/>
          <w:lang w:val="en-GB"/>
        </w:rPr>
        <w:t>Other income received</w:t>
      </w:r>
    </w:p>
    <w:p w:rsidR="0030667B" w:rsidRDefault="007E52B2" w:rsidP="0030667B">
      <w:pPr>
        <w:jc w:val="both"/>
        <w:rPr>
          <w:sz w:val="24"/>
          <w:szCs w:val="24"/>
          <w:lang w:val="en-GB"/>
        </w:rPr>
      </w:pPr>
      <w:r>
        <w:rPr>
          <w:sz w:val="24"/>
          <w:szCs w:val="24"/>
          <w:lang w:val="en-GB"/>
        </w:rPr>
        <w:t>The EU-</w:t>
      </w:r>
      <w:r w:rsidR="005A336F" w:rsidRPr="00CE14AA">
        <w:rPr>
          <w:sz w:val="24"/>
          <w:szCs w:val="24"/>
          <w:lang w:val="en-GB"/>
        </w:rPr>
        <w:t>SILC</w:t>
      </w:r>
      <w:r w:rsidR="005A336F">
        <w:rPr>
          <w:sz w:val="24"/>
          <w:szCs w:val="24"/>
          <w:lang w:val="en-GB"/>
        </w:rPr>
        <w:t xml:space="preserve"> </w:t>
      </w:r>
      <w:r>
        <w:rPr>
          <w:sz w:val="24"/>
          <w:szCs w:val="24"/>
          <w:lang w:val="en-GB"/>
        </w:rPr>
        <w:t xml:space="preserve">income definition includes the corresponding types </w:t>
      </w:r>
      <w:r w:rsidR="0030667B">
        <w:rPr>
          <w:sz w:val="24"/>
          <w:szCs w:val="24"/>
          <w:lang w:val="en-GB"/>
        </w:rPr>
        <w:t xml:space="preserve">of </w:t>
      </w:r>
      <w:r w:rsidR="0030667B" w:rsidRPr="0030667B">
        <w:rPr>
          <w:sz w:val="24"/>
          <w:szCs w:val="24"/>
          <w:lang w:val="en-GB"/>
        </w:rPr>
        <w:t>income from capital assets</w:t>
      </w:r>
      <w:r w:rsidR="00B22E8C">
        <w:rPr>
          <w:sz w:val="24"/>
          <w:szCs w:val="24"/>
          <w:lang w:val="en-GB"/>
        </w:rPr>
        <w:t xml:space="preserve"> (</w:t>
      </w:r>
      <w:r w:rsidR="00B22E8C" w:rsidRPr="00B22E8C">
        <w:rPr>
          <w:sz w:val="24"/>
          <w:szCs w:val="24"/>
          <w:lang w:val="en-GB"/>
        </w:rPr>
        <w:t>shares</w:t>
      </w:r>
      <w:r w:rsidR="00B22E8C">
        <w:rPr>
          <w:sz w:val="24"/>
          <w:szCs w:val="24"/>
          <w:lang w:val="en-GB"/>
        </w:rPr>
        <w:t xml:space="preserve">, </w:t>
      </w:r>
      <w:r w:rsidR="00B22E8C" w:rsidRPr="00B22E8C">
        <w:rPr>
          <w:sz w:val="24"/>
          <w:szCs w:val="24"/>
          <w:lang w:val="en-GB"/>
        </w:rPr>
        <w:t xml:space="preserve">stocks, </w:t>
      </w:r>
      <w:r w:rsidR="00807D25" w:rsidRPr="00807D25">
        <w:rPr>
          <w:sz w:val="24"/>
          <w:szCs w:val="24"/>
          <w:lang w:val="en-GB"/>
        </w:rPr>
        <w:t xml:space="preserve">interest on </w:t>
      </w:r>
      <w:r w:rsidR="00B22E8C" w:rsidRPr="00B22E8C">
        <w:rPr>
          <w:sz w:val="24"/>
          <w:szCs w:val="24"/>
          <w:lang w:val="en-GB"/>
        </w:rPr>
        <w:t>bonds,</w:t>
      </w:r>
      <w:r w:rsidR="00807D25">
        <w:rPr>
          <w:sz w:val="24"/>
          <w:szCs w:val="24"/>
          <w:lang w:val="en-GB"/>
        </w:rPr>
        <w:t xml:space="preserve"> </w:t>
      </w:r>
      <w:r>
        <w:rPr>
          <w:sz w:val="24"/>
          <w:szCs w:val="24"/>
          <w:lang w:val="en-GB"/>
        </w:rPr>
        <w:t xml:space="preserve">interest received on </w:t>
      </w:r>
      <w:r w:rsidR="00B22E8C" w:rsidRPr="00B22E8C">
        <w:rPr>
          <w:sz w:val="24"/>
          <w:szCs w:val="24"/>
          <w:lang w:val="en-GB"/>
        </w:rPr>
        <w:t xml:space="preserve">savings, </w:t>
      </w:r>
      <w:r>
        <w:rPr>
          <w:sz w:val="24"/>
          <w:szCs w:val="24"/>
          <w:lang w:val="en-GB"/>
        </w:rPr>
        <w:t xml:space="preserve">interest received on </w:t>
      </w:r>
      <w:r w:rsidR="00B22E8C" w:rsidRPr="00B22E8C">
        <w:rPr>
          <w:sz w:val="24"/>
          <w:szCs w:val="24"/>
          <w:lang w:val="en-GB"/>
        </w:rPr>
        <w:t>money lent</w:t>
      </w:r>
      <w:r w:rsidR="00807D25">
        <w:rPr>
          <w:sz w:val="24"/>
          <w:szCs w:val="24"/>
          <w:lang w:val="en-GB"/>
        </w:rPr>
        <w:t>)</w:t>
      </w:r>
      <w:r>
        <w:rPr>
          <w:sz w:val="24"/>
          <w:szCs w:val="24"/>
          <w:lang w:val="en-GB"/>
        </w:rPr>
        <w:t>, the coverage of these items seems to be similar.</w:t>
      </w:r>
      <w:r w:rsidR="0030667B" w:rsidRPr="0030667B">
        <w:rPr>
          <w:sz w:val="24"/>
          <w:szCs w:val="24"/>
          <w:lang w:val="en-GB"/>
        </w:rPr>
        <w:t xml:space="preserve"> </w:t>
      </w:r>
    </w:p>
    <w:p w:rsidR="009945CF" w:rsidRDefault="007E52B2" w:rsidP="009945CF">
      <w:pPr>
        <w:jc w:val="both"/>
        <w:rPr>
          <w:sz w:val="24"/>
          <w:szCs w:val="24"/>
          <w:lang w:val="en-GB"/>
        </w:rPr>
      </w:pPr>
      <w:r>
        <w:rPr>
          <w:sz w:val="24"/>
          <w:szCs w:val="24"/>
          <w:lang w:val="en-GB"/>
        </w:rPr>
        <w:t xml:space="preserve">The national instrument of </w:t>
      </w:r>
      <w:r w:rsidR="0030667B">
        <w:rPr>
          <w:sz w:val="24"/>
          <w:szCs w:val="24"/>
          <w:lang w:val="en-GB"/>
        </w:rPr>
        <w:t>E</w:t>
      </w:r>
      <w:r>
        <w:rPr>
          <w:sz w:val="24"/>
          <w:szCs w:val="24"/>
          <w:lang w:val="en-GB"/>
        </w:rPr>
        <w:t xml:space="preserve">ducational grant from the state is covered in the questionnaire. </w:t>
      </w:r>
    </w:p>
    <w:p w:rsidR="007E52B2" w:rsidRDefault="007E52B2" w:rsidP="009945CF">
      <w:pPr>
        <w:jc w:val="both"/>
        <w:rPr>
          <w:sz w:val="24"/>
          <w:szCs w:val="24"/>
          <w:lang w:val="en-GB"/>
        </w:rPr>
      </w:pPr>
      <w:r w:rsidRPr="00880AAF">
        <w:rPr>
          <w:i/>
          <w:sz w:val="24"/>
          <w:szCs w:val="24"/>
          <w:lang w:val="en-GB"/>
        </w:rPr>
        <w:t>Related issue to be discussed and further assessed:</w:t>
      </w:r>
      <w:r>
        <w:rPr>
          <w:i/>
          <w:sz w:val="24"/>
          <w:szCs w:val="24"/>
          <w:lang w:val="en-GB"/>
        </w:rPr>
        <w:t xml:space="preserve"> the nature of the educational grant from the state and its potential inclusion into the total disposable income for the calculation of the EU income based indicators.</w:t>
      </w:r>
    </w:p>
    <w:p w:rsidR="007E52B2" w:rsidRDefault="00B025BF" w:rsidP="007E52B2">
      <w:pPr>
        <w:jc w:val="both"/>
        <w:rPr>
          <w:rFonts w:eastAsia="Times New Roman" w:cstheme="minorHAnsi"/>
          <w:sz w:val="24"/>
          <w:szCs w:val="24"/>
          <w:lang w:val="en" w:eastAsia="cs-CZ"/>
        </w:rPr>
      </w:pPr>
      <w:r>
        <w:rPr>
          <w:rFonts w:eastAsia="Times New Roman" w:cstheme="minorHAnsi"/>
          <w:sz w:val="24"/>
          <w:szCs w:val="24"/>
          <w:lang w:val="en" w:eastAsia="cs-CZ"/>
        </w:rPr>
        <w:t>Rental income is included in the EU-SILC income definition and this items is similar to the EU-SILC item.</w:t>
      </w:r>
    </w:p>
    <w:p w:rsidR="007E52B2" w:rsidRDefault="007E52B2" w:rsidP="007E52B2">
      <w:pPr>
        <w:jc w:val="both"/>
        <w:rPr>
          <w:rFonts w:eastAsia="Times New Roman" w:cstheme="minorHAnsi"/>
          <w:sz w:val="24"/>
          <w:szCs w:val="24"/>
          <w:lang w:val="en" w:eastAsia="cs-CZ"/>
        </w:rPr>
      </w:pPr>
      <w:r>
        <w:rPr>
          <w:rFonts w:eastAsia="Times New Roman" w:cstheme="minorHAnsi"/>
          <w:sz w:val="24"/>
          <w:szCs w:val="24"/>
          <w:lang w:val="en" w:eastAsia="cs-CZ"/>
        </w:rPr>
        <w:t>Alimonies are included in the EU-SILC income definition a</w:t>
      </w:r>
      <w:r w:rsidRPr="009945CF">
        <w:rPr>
          <w:rFonts w:eastAsia="Times New Roman" w:cstheme="minorHAnsi"/>
          <w:sz w:val="24"/>
          <w:szCs w:val="24"/>
          <w:lang w:val="en" w:eastAsia="cs-CZ"/>
        </w:rPr>
        <w:t>mong tr</w:t>
      </w:r>
      <w:r>
        <w:rPr>
          <w:rFonts w:eastAsia="Times New Roman" w:cstheme="minorHAnsi"/>
          <w:sz w:val="24"/>
          <w:szCs w:val="24"/>
          <w:lang w:val="en" w:eastAsia="cs-CZ"/>
        </w:rPr>
        <w:t xml:space="preserve">ansfers between households and as such, they are included as part of the total household disposable income. </w:t>
      </w:r>
    </w:p>
    <w:p w:rsidR="00547E29" w:rsidRDefault="00B025BF" w:rsidP="00B025BF">
      <w:pPr>
        <w:jc w:val="both"/>
        <w:rPr>
          <w:rFonts w:eastAsia="Times New Roman" w:cstheme="minorHAnsi"/>
          <w:sz w:val="24"/>
          <w:szCs w:val="24"/>
          <w:lang w:val="en" w:eastAsia="cs-CZ"/>
        </w:rPr>
      </w:pPr>
      <w:r w:rsidRPr="00B025BF">
        <w:rPr>
          <w:rFonts w:eastAsia="Times New Roman" w:cstheme="minorHAnsi"/>
          <w:sz w:val="24"/>
          <w:szCs w:val="24"/>
          <w:lang w:val="en" w:eastAsia="cs-CZ"/>
        </w:rPr>
        <w:t xml:space="preserve">The item funding </w:t>
      </w:r>
      <w:r>
        <w:rPr>
          <w:rFonts w:eastAsia="Times New Roman" w:cstheme="minorHAnsi"/>
          <w:sz w:val="24"/>
          <w:szCs w:val="24"/>
          <w:lang w:val="en" w:eastAsia="cs-CZ"/>
        </w:rPr>
        <w:t xml:space="preserve">from a donor could correspond to the item of intra-household transfers received (other than alimonies) </w:t>
      </w:r>
      <w:r w:rsidR="00547E29">
        <w:rPr>
          <w:rFonts w:eastAsia="Times New Roman" w:cstheme="minorHAnsi"/>
          <w:sz w:val="24"/>
          <w:szCs w:val="24"/>
          <w:lang w:val="en" w:eastAsia="cs-CZ"/>
        </w:rPr>
        <w:t xml:space="preserve">– depending on the nature of the financial transfer (regular, contributing to the regular household disposable income). </w:t>
      </w:r>
    </w:p>
    <w:p w:rsidR="000A608E" w:rsidRPr="00B025BF" w:rsidRDefault="00605D9D" w:rsidP="00B025BF">
      <w:pPr>
        <w:jc w:val="both"/>
        <w:rPr>
          <w:rFonts w:eastAsia="Times New Roman" w:cstheme="minorHAnsi"/>
          <w:sz w:val="24"/>
          <w:szCs w:val="24"/>
          <w:lang w:val="en" w:eastAsia="cs-CZ"/>
        </w:rPr>
      </w:pPr>
      <w:r>
        <w:rPr>
          <w:rFonts w:eastAsia="Times New Roman" w:cstheme="minorHAnsi"/>
          <w:sz w:val="24"/>
          <w:szCs w:val="24"/>
          <w:lang w:val="en" w:eastAsia="cs-CZ"/>
        </w:rPr>
        <w:t xml:space="preserve">One-off transfers (cash </w:t>
      </w:r>
      <w:r w:rsidR="00547E29">
        <w:rPr>
          <w:rFonts w:eastAsia="Times New Roman" w:cstheme="minorHAnsi"/>
          <w:sz w:val="24"/>
          <w:szCs w:val="24"/>
          <w:lang w:val="en" w:eastAsia="cs-CZ"/>
        </w:rPr>
        <w:t>/</w:t>
      </w:r>
      <w:r>
        <w:rPr>
          <w:rFonts w:eastAsia="Times New Roman" w:cstheme="minorHAnsi"/>
          <w:sz w:val="24"/>
          <w:szCs w:val="24"/>
          <w:lang w:val="en" w:eastAsia="cs-CZ"/>
        </w:rPr>
        <w:t xml:space="preserve"> </w:t>
      </w:r>
      <w:r w:rsidR="00547E29">
        <w:rPr>
          <w:rFonts w:eastAsia="Times New Roman" w:cstheme="minorHAnsi"/>
          <w:sz w:val="24"/>
          <w:szCs w:val="24"/>
          <w:lang w:val="en" w:eastAsia="cs-CZ"/>
        </w:rPr>
        <w:t>non-cash inheritances, financial gifts, lottery winnings) are not</w:t>
      </w:r>
      <w:r>
        <w:rPr>
          <w:rFonts w:eastAsia="Times New Roman" w:cstheme="minorHAnsi"/>
          <w:sz w:val="24"/>
          <w:szCs w:val="24"/>
          <w:lang w:val="en" w:eastAsia="cs-CZ"/>
        </w:rPr>
        <w:t xml:space="preserve"> </w:t>
      </w:r>
      <w:r w:rsidR="00547E29">
        <w:rPr>
          <w:rFonts w:eastAsia="Times New Roman" w:cstheme="minorHAnsi"/>
          <w:sz w:val="24"/>
          <w:szCs w:val="24"/>
          <w:lang w:val="en" w:eastAsia="cs-CZ"/>
        </w:rPr>
        <w:t xml:space="preserve">included in the EU income definition (considered </w:t>
      </w:r>
      <w:r>
        <w:rPr>
          <w:rFonts w:eastAsia="Times New Roman" w:cstheme="minorHAnsi"/>
          <w:sz w:val="24"/>
          <w:szCs w:val="24"/>
          <w:lang w:val="en" w:eastAsia="cs-CZ"/>
        </w:rPr>
        <w:t xml:space="preserve">as </w:t>
      </w:r>
      <w:r w:rsidR="00547E29">
        <w:rPr>
          <w:rFonts w:eastAsia="Times New Roman" w:cstheme="minorHAnsi"/>
          <w:sz w:val="24"/>
          <w:szCs w:val="24"/>
          <w:lang w:val="en" w:eastAsia="cs-CZ"/>
        </w:rPr>
        <w:t>part of the capital transfers, affecting assets of the household, but not its disposable income at the time of their receiving</w:t>
      </w:r>
      <w:r w:rsidR="0008383A">
        <w:rPr>
          <w:rFonts w:eastAsia="Times New Roman" w:cstheme="minorHAnsi"/>
          <w:sz w:val="24"/>
          <w:szCs w:val="24"/>
          <w:lang w:val="en" w:eastAsia="cs-CZ"/>
        </w:rPr>
        <w:t>)</w:t>
      </w:r>
      <w:r w:rsidR="00547E29">
        <w:rPr>
          <w:rFonts w:eastAsia="Times New Roman" w:cstheme="minorHAnsi"/>
          <w:sz w:val="24"/>
          <w:szCs w:val="24"/>
          <w:lang w:val="en" w:eastAsia="cs-CZ"/>
        </w:rPr>
        <w:t>.</w:t>
      </w:r>
      <w:r w:rsidR="0008383A">
        <w:rPr>
          <w:rFonts w:eastAsia="Times New Roman" w:cstheme="minorHAnsi"/>
          <w:sz w:val="24"/>
          <w:szCs w:val="24"/>
          <w:lang w:val="en" w:eastAsia="cs-CZ"/>
        </w:rPr>
        <w:t xml:space="preserve"> </w:t>
      </w:r>
      <w:r w:rsidR="00547E29">
        <w:rPr>
          <w:rFonts w:eastAsia="Times New Roman" w:cstheme="minorHAnsi"/>
          <w:sz w:val="24"/>
          <w:szCs w:val="24"/>
          <w:lang w:val="en" w:eastAsia="cs-CZ"/>
        </w:rPr>
        <w:t>The</w:t>
      </w:r>
      <w:r>
        <w:rPr>
          <w:rFonts w:eastAsia="Times New Roman" w:cstheme="minorHAnsi"/>
          <w:sz w:val="24"/>
          <w:szCs w:val="24"/>
          <w:lang w:val="en" w:eastAsia="cs-CZ"/>
        </w:rPr>
        <w:t> </w:t>
      </w:r>
      <w:r w:rsidR="00547E29">
        <w:rPr>
          <w:rFonts w:eastAsia="Times New Roman" w:cstheme="minorHAnsi"/>
          <w:sz w:val="24"/>
          <w:szCs w:val="24"/>
          <w:lang w:val="en" w:eastAsia="cs-CZ"/>
        </w:rPr>
        <w:t>income from betting, if regular, could be considered as quasi-self-employment income – if regular by its nature and regular part of the household income earning activities.</w:t>
      </w:r>
    </w:p>
    <w:p w:rsidR="000A608E" w:rsidRDefault="00547E29" w:rsidP="0008383A">
      <w:pPr>
        <w:spacing w:after="120" w:line="240" w:lineRule="auto"/>
        <w:jc w:val="both"/>
        <w:rPr>
          <w:rFonts w:cstheme="minorHAnsi"/>
          <w:color w:val="0070C0"/>
          <w:sz w:val="24"/>
          <w:szCs w:val="24"/>
          <w:lang w:val="en-GB"/>
        </w:rPr>
      </w:pPr>
      <w:r w:rsidRPr="00880AAF">
        <w:rPr>
          <w:i/>
          <w:sz w:val="24"/>
          <w:szCs w:val="24"/>
          <w:lang w:val="en-GB"/>
        </w:rPr>
        <w:t>Related issue to be discussed and further assessed:</w:t>
      </w:r>
      <w:r>
        <w:rPr>
          <w:i/>
          <w:sz w:val="24"/>
          <w:szCs w:val="24"/>
          <w:lang w:val="en-GB"/>
        </w:rPr>
        <w:t xml:space="preserve"> </w:t>
      </w:r>
      <w:r w:rsidR="00997C1A">
        <w:rPr>
          <w:i/>
          <w:sz w:val="24"/>
          <w:szCs w:val="24"/>
          <w:lang w:val="en-GB"/>
        </w:rPr>
        <w:t>inclusion of inheritances and one-off capital transfers in the total income aggregate for the EU income based indicators. Clari</w:t>
      </w:r>
      <w:r w:rsidR="00FC2E5E">
        <w:rPr>
          <w:i/>
          <w:sz w:val="24"/>
          <w:szCs w:val="24"/>
          <w:lang w:val="en-GB"/>
        </w:rPr>
        <w:t>fication of the nature of the funding from a donor and funding from a state items.</w:t>
      </w:r>
    </w:p>
    <w:p w:rsidR="00831E66" w:rsidRDefault="00831E66" w:rsidP="0008383A">
      <w:pPr>
        <w:pStyle w:val="Undertitel"/>
        <w:spacing w:before="480"/>
        <w:rPr>
          <w:lang w:val="en-GB"/>
        </w:rPr>
      </w:pPr>
      <w:r w:rsidRPr="00831E66">
        <w:rPr>
          <w:lang w:val="en-GB"/>
        </w:rPr>
        <w:t>Part II</w:t>
      </w:r>
      <w:r>
        <w:rPr>
          <w:lang w:val="en-GB"/>
        </w:rPr>
        <w:t xml:space="preserve"> – </w:t>
      </w:r>
      <w:r w:rsidR="00F905E6">
        <w:rPr>
          <w:lang w:val="en-GB"/>
        </w:rPr>
        <w:t xml:space="preserve">1. </w:t>
      </w:r>
      <w:r>
        <w:rPr>
          <w:lang w:val="en-GB"/>
        </w:rPr>
        <w:t>C</w:t>
      </w:r>
      <w:r w:rsidRPr="00831E66">
        <w:rPr>
          <w:lang w:val="en-GB"/>
        </w:rPr>
        <w:t>hanges in the financial status</w:t>
      </w:r>
    </w:p>
    <w:p w:rsidR="00FC2E5E" w:rsidRDefault="00831E66" w:rsidP="00FC2E5E">
      <w:pPr>
        <w:jc w:val="both"/>
        <w:rPr>
          <w:sz w:val="24"/>
          <w:szCs w:val="24"/>
          <w:lang w:val="en-GB"/>
        </w:rPr>
      </w:pPr>
      <w:r w:rsidRPr="007465A7">
        <w:rPr>
          <w:sz w:val="24"/>
          <w:szCs w:val="24"/>
          <w:lang w:val="en-GB"/>
        </w:rPr>
        <w:t>According to the EU-SILC methodology</w:t>
      </w:r>
      <w:r>
        <w:rPr>
          <w:sz w:val="24"/>
          <w:szCs w:val="24"/>
          <w:lang w:val="en-GB"/>
        </w:rPr>
        <w:t xml:space="preserve">, </w:t>
      </w:r>
      <w:r w:rsidR="00954E95">
        <w:rPr>
          <w:sz w:val="24"/>
          <w:szCs w:val="24"/>
          <w:lang w:val="en-GB"/>
        </w:rPr>
        <w:t>the total disposable household income does</w:t>
      </w:r>
      <w:r w:rsidR="00885A08">
        <w:rPr>
          <w:sz w:val="24"/>
          <w:szCs w:val="24"/>
          <w:lang w:val="en-GB"/>
        </w:rPr>
        <w:t xml:space="preserve"> </w:t>
      </w:r>
      <w:r w:rsidR="00954E95">
        <w:rPr>
          <w:sz w:val="24"/>
          <w:szCs w:val="24"/>
          <w:lang w:val="en-GB"/>
        </w:rPr>
        <w:t>not</w:t>
      </w:r>
      <w:r w:rsidRPr="00831E66">
        <w:rPr>
          <w:sz w:val="24"/>
          <w:szCs w:val="24"/>
          <w:lang w:val="en-GB"/>
        </w:rPr>
        <w:t xml:space="preserve"> include </w:t>
      </w:r>
      <w:r>
        <w:rPr>
          <w:sz w:val="24"/>
          <w:szCs w:val="24"/>
          <w:lang w:val="en-GB"/>
        </w:rPr>
        <w:t xml:space="preserve">any </w:t>
      </w:r>
      <w:r w:rsidRPr="00831E66">
        <w:rPr>
          <w:sz w:val="24"/>
          <w:szCs w:val="24"/>
          <w:lang w:val="en-GB"/>
        </w:rPr>
        <w:t xml:space="preserve">income from </w:t>
      </w:r>
      <w:r w:rsidRPr="00FC2E5E">
        <w:rPr>
          <w:sz w:val="24"/>
          <w:szCs w:val="24"/>
          <w:lang w:val="en-GB"/>
        </w:rPr>
        <w:t>the sale of</w:t>
      </w:r>
      <w:r w:rsidRPr="00831E66">
        <w:rPr>
          <w:sz w:val="24"/>
          <w:szCs w:val="24"/>
          <w:lang w:val="en-GB"/>
        </w:rPr>
        <w:t xml:space="preserve"> real estate</w:t>
      </w:r>
      <w:r>
        <w:rPr>
          <w:sz w:val="24"/>
          <w:szCs w:val="24"/>
          <w:lang w:val="en-GB"/>
        </w:rPr>
        <w:t>s</w:t>
      </w:r>
      <w:r w:rsidRPr="00831E66">
        <w:rPr>
          <w:sz w:val="24"/>
          <w:szCs w:val="24"/>
          <w:lang w:val="en-GB"/>
        </w:rPr>
        <w:t xml:space="preserve"> </w:t>
      </w:r>
      <w:r>
        <w:rPr>
          <w:sz w:val="24"/>
          <w:szCs w:val="24"/>
          <w:lang w:val="en-GB"/>
        </w:rPr>
        <w:t>(</w:t>
      </w:r>
      <w:r w:rsidRPr="00831E66">
        <w:rPr>
          <w:sz w:val="24"/>
          <w:szCs w:val="24"/>
          <w:lang w:val="en-GB"/>
        </w:rPr>
        <w:t>i</w:t>
      </w:r>
      <w:r>
        <w:rPr>
          <w:sz w:val="24"/>
          <w:szCs w:val="24"/>
          <w:lang w:val="en-GB"/>
        </w:rPr>
        <w:t>.</w:t>
      </w:r>
      <w:r w:rsidRPr="00831E66">
        <w:rPr>
          <w:sz w:val="24"/>
          <w:szCs w:val="24"/>
          <w:lang w:val="en-GB"/>
        </w:rPr>
        <w:t>e</w:t>
      </w:r>
      <w:r>
        <w:rPr>
          <w:sz w:val="24"/>
          <w:szCs w:val="24"/>
          <w:lang w:val="en-GB"/>
        </w:rPr>
        <w:t>.</w:t>
      </w:r>
      <w:r w:rsidRPr="00831E66">
        <w:rPr>
          <w:sz w:val="24"/>
          <w:szCs w:val="24"/>
          <w:lang w:val="en-GB"/>
        </w:rPr>
        <w:t xml:space="preserve"> land, fields, buildings, flats, garage</w:t>
      </w:r>
      <w:r>
        <w:rPr>
          <w:sz w:val="24"/>
          <w:szCs w:val="24"/>
          <w:lang w:val="en-GB"/>
        </w:rPr>
        <w:t>s) nor</w:t>
      </w:r>
      <w:r w:rsidR="00885A08">
        <w:rPr>
          <w:sz w:val="24"/>
          <w:szCs w:val="24"/>
          <w:lang w:val="en-GB"/>
        </w:rPr>
        <w:t> </w:t>
      </w:r>
      <w:r>
        <w:rPr>
          <w:sz w:val="24"/>
          <w:szCs w:val="24"/>
          <w:lang w:val="en-GB"/>
        </w:rPr>
        <w:t xml:space="preserve">any </w:t>
      </w:r>
      <w:r w:rsidRPr="00831E66">
        <w:rPr>
          <w:sz w:val="24"/>
          <w:szCs w:val="24"/>
          <w:lang w:val="en-GB"/>
        </w:rPr>
        <w:t xml:space="preserve">income from the sale of </w:t>
      </w:r>
      <w:r>
        <w:rPr>
          <w:sz w:val="24"/>
          <w:szCs w:val="24"/>
          <w:lang w:val="en-GB"/>
        </w:rPr>
        <w:t>a car or other movable property</w:t>
      </w:r>
      <w:r w:rsidR="00954E95">
        <w:rPr>
          <w:sz w:val="24"/>
          <w:szCs w:val="24"/>
          <w:lang w:val="en-GB"/>
        </w:rPr>
        <w:t xml:space="preserve">, these being </w:t>
      </w:r>
      <w:r w:rsidR="00FC2E5E">
        <w:rPr>
          <w:sz w:val="24"/>
          <w:szCs w:val="24"/>
          <w:lang w:val="en-GB"/>
        </w:rPr>
        <w:t xml:space="preserve">eventually </w:t>
      </w:r>
      <w:r w:rsidR="00954E95">
        <w:rPr>
          <w:sz w:val="24"/>
          <w:szCs w:val="24"/>
          <w:lang w:val="en-GB"/>
        </w:rPr>
        <w:t>part of the wealth /</w:t>
      </w:r>
      <w:r w:rsidR="00885A08">
        <w:rPr>
          <w:sz w:val="24"/>
          <w:szCs w:val="24"/>
          <w:lang w:val="en-GB"/>
        </w:rPr>
        <w:t xml:space="preserve"> </w:t>
      </w:r>
      <w:r w:rsidR="00954E95">
        <w:rPr>
          <w:sz w:val="24"/>
          <w:szCs w:val="24"/>
          <w:lang w:val="en-GB"/>
        </w:rPr>
        <w:t>assets balance</w:t>
      </w:r>
      <w:r>
        <w:rPr>
          <w:sz w:val="24"/>
          <w:szCs w:val="24"/>
          <w:lang w:val="en-GB"/>
        </w:rPr>
        <w:t>.</w:t>
      </w:r>
      <w:r w:rsidR="00FC2E5E">
        <w:rPr>
          <w:sz w:val="24"/>
          <w:szCs w:val="24"/>
          <w:lang w:val="en-GB"/>
        </w:rPr>
        <w:t xml:space="preserve"> </w:t>
      </w:r>
    </w:p>
    <w:p w:rsidR="00B70856" w:rsidRDefault="00954E95" w:rsidP="00B70856">
      <w:pPr>
        <w:jc w:val="both"/>
        <w:rPr>
          <w:sz w:val="24"/>
          <w:szCs w:val="24"/>
          <w:lang w:val="en-GB"/>
        </w:rPr>
      </w:pPr>
      <w:r>
        <w:rPr>
          <w:sz w:val="24"/>
          <w:szCs w:val="24"/>
          <w:lang w:val="en-GB"/>
        </w:rPr>
        <w:t>EU-SI</w:t>
      </w:r>
      <w:r w:rsidR="00E9007A" w:rsidRPr="00CE14AA">
        <w:rPr>
          <w:sz w:val="24"/>
          <w:szCs w:val="24"/>
          <w:lang w:val="en-GB"/>
        </w:rPr>
        <w:t>LC</w:t>
      </w:r>
      <w:r w:rsidR="00E9007A">
        <w:rPr>
          <w:sz w:val="24"/>
          <w:szCs w:val="24"/>
          <w:lang w:val="en-GB"/>
        </w:rPr>
        <w:t xml:space="preserve"> </w:t>
      </w:r>
      <w:r>
        <w:rPr>
          <w:sz w:val="24"/>
          <w:szCs w:val="24"/>
          <w:lang w:val="en-GB"/>
        </w:rPr>
        <w:t xml:space="preserve">does </w:t>
      </w:r>
      <w:r w:rsidR="00F96D86">
        <w:rPr>
          <w:sz w:val="24"/>
          <w:szCs w:val="24"/>
          <w:lang w:val="en-GB"/>
        </w:rPr>
        <w:t xml:space="preserve">not </w:t>
      </w:r>
      <w:r>
        <w:rPr>
          <w:sz w:val="24"/>
          <w:szCs w:val="24"/>
          <w:lang w:val="en-GB"/>
        </w:rPr>
        <w:t xml:space="preserve">cover </w:t>
      </w:r>
      <w:r w:rsidR="00F96D86">
        <w:rPr>
          <w:sz w:val="24"/>
          <w:szCs w:val="24"/>
          <w:lang w:val="en-GB"/>
        </w:rPr>
        <w:t xml:space="preserve">any </w:t>
      </w:r>
      <w:r w:rsidR="00F96D86" w:rsidRPr="00F96D86">
        <w:rPr>
          <w:sz w:val="24"/>
          <w:szCs w:val="24"/>
          <w:lang w:val="en-GB"/>
        </w:rPr>
        <w:t xml:space="preserve">amount from existing </w:t>
      </w:r>
      <w:r w:rsidR="00F96D86" w:rsidRPr="00FC2E5E">
        <w:rPr>
          <w:sz w:val="24"/>
          <w:szCs w:val="24"/>
          <w:lang w:val="en-GB"/>
        </w:rPr>
        <w:t>savings.</w:t>
      </w:r>
      <w:r w:rsidR="00F96D86">
        <w:rPr>
          <w:sz w:val="24"/>
          <w:szCs w:val="24"/>
          <w:lang w:val="en-GB"/>
        </w:rPr>
        <w:t xml:space="preserve"> </w:t>
      </w:r>
      <w:r>
        <w:rPr>
          <w:sz w:val="24"/>
          <w:szCs w:val="24"/>
          <w:lang w:val="en-GB"/>
        </w:rPr>
        <w:t>In the EU context, t</w:t>
      </w:r>
      <w:r w:rsidR="00F96D86">
        <w:rPr>
          <w:sz w:val="24"/>
          <w:szCs w:val="24"/>
          <w:lang w:val="en-GB"/>
        </w:rPr>
        <w:t xml:space="preserve">his topic </w:t>
      </w:r>
      <w:r w:rsidR="00F96D86" w:rsidRPr="00F96D86">
        <w:rPr>
          <w:sz w:val="24"/>
          <w:szCs w:val="24"/>
          <w:lang w:val="en-GB"/>
        </w:rPr>
        <w:t>i</w:t>
      </w:r>
      <w:r>
        <w:rPr>
          <w:sz w:val="24"/>
          <w:szCs w:val="24"/>
          <w:lang w:val="en-GB"/>
        </w:rPr>
        <w:t>s</w:t>
      </w:r>
      <w:r w:rsidR="00F96D86" w:rsidRPr="00F96D86">
        <w:rPr>
          <w:sz w:val="24"/>
          <w:szCs w:val="24"/>
          <w:lang w:val="en-GB"/>
        </w:rPr>
        <w:t xml:space="preserve"> part of a</w:t>
      </w:r>
      <w:r w:rsidR="00885A08">
        <w:rPr>
          <w:sz w:val="24"/>
          <w:szCs w:val="24"/>
          <w:lang w:val="en-GB"/>
        </w:rPr>
        <w:t xml:space="preserve"> </w:t>
      </w:r>
      <w:r w:rsidR="00F96D86" w:rsidRPr="00F96D86">
        <w:rPr>
          <w:sz w:val="24"/>
          <w:szCs w:val="24"/>
          <w:lang w:val="en-GB"/>
        </w:rPr>
        <w:t>special</w:t>
      </w:r>
      <w:r w:rsidR="00F96D86" w:rsidRPr="00E9007A">
        <w:rPr>
          <w:spacing w:val="-20"/>
          <w:sz w:val="24"/>
          <w:szCs w:val="24"/>
          <w:lang w:val="en-GB"/>
        </w:rPr>
        <w:t xml:space="preserve"> </w:t>
      </w:r>
      <w:r w:rsidR="00F96D86">
        <w:rPr>
          <w:sz w:val="24"/>
          <w:szCs w:val="24"/>
          <w:lang w:val="en-GB"/>
        </w:rPr>
        <w:t>survey called “H</w:t>
      </w:r>
      <w:r w:rsidR="00F96D86" w:rsidRPr="00F96D86">
        <w:rPr>
          <w:sz w:val="24"/>
          <w:szCs w:val="24"/>
          <w:lang w:val="en-GB"/>
        </w:rPr>
        <w:t xml:space="preserve">ousehold </w:t>
      </w:r>
      <w:r w:rsidR="00F96D86">
        <w:rPr>
          <w:sz w:val="24"/>
          <w:szCs w:val="24"/>
          <w:lang w:val="en-GB"/>
        </w:rPr>
        <w:t>F</w:t>
      </w:r>
      <w:r w:rsidR="00F96D86" w:rsidRPr="00F96D86">
        <w:rPr>
          <w:sz w:val="24"/>
          <w:szCs w:val="24"/>
          <w:lang w:val="en-GB"/>
        </w:rPr>
        <w:t>inanc</w:t>
      </w:r>
      <w:r w:rsidR="0011642C">
        <w:rPr>
          <w:sz w:val="24"/>
          <w:szCs w:val="24"/>
          <w:lang w:val="en-GB"/>
        </w:rPr>
        <w:t xml:space="preserve">e and Consumption Survey” </w:t>
      </w:r>
      <w:r w:rsidR="00F96D86">
        <w:rPr>
          <w:sz w:val="24"/>
          <w:szCs w:val="24"/>
          <w:lang w:val="en-GB"/>
        </w:rPr>
        <w:t>(HFCS)</w:t>
      </w:r>
      <w:r w:rsidR="00E9007A">
        <w:rPr>
          <w:sz w:val="24"/>
          <w:szCs w:val="24"/>
          <w:lang w:val="en-GB"/>
        </w:rPr>
        <w:t xml:space="preserve"> </w:t>
      </w:r>
      <w:r>
        <w:rPr>
          <w:sz w:val="24"/>
          <w:szCs w:val="24"/>
          <w:lang w:val="en-GB"/>
        </w:rPr>
        <w:t xml:space="preserve">coordinated by the </w:t>
      </w:r>
      <w:r w:rsidR="006F77F5" w:rsidRPr="00F96D86">
        <w:rPr>
          <w:sz w:val="24"/>
          <w:szCs w:val="24"/>
          <w:lang w:val="en-GB"/>
        </w:rPr>
        <w:t>European Central Bank</w:t>
      </w:r>
      <w:r w:rsidR="006F77F5">
        <w:rPr>
          <w:sz w:val="24"/>
          <w:szCs w:val="24"/>
          <w:lang w:val="en-GB"/>
        </w:rPr>
        <w:t xml:space="preserve">. </w:t>
      </w:r>
      <w:r w:rsidR="006F77F5" w:rsidRPr="006F77F5">
        <w:rPr>
          <w:sz w:val="24"/>
          <w:szCs w:val="24"/>
          <w:lang w:val="en-GB"/>
        </w:rPr>
        <w:t xml:space="preserve">The savings kept on </w:t>
      </w:r>
      <w:r w:rsidR="006F77F5">
        <w:rPr>
          <w:sz w:val="24"/>
          <w:szCs w:val="24"/>
          <w:lang w:val="en-GB"/>
        </w:rPr>
        <w:t xml:space="preserve">the household </w:t>
      </w:r>
      <w:r w:rsidR="006F77F5" w:rsidRPr="006F77F5">
        <w:rPr>
          <w:sz w:val="24"/>
          <w:szCs w:val="24"/>
          <w:lang w:val="en-GB"/>
        </w:rPr>
        <w:t>bank</w:t>
      </w:r>
      <w:r w:rsidR="006F77F5">
        <w:rPr>
          <w:sz w:val="24"/>
          <w:szCs w:val="24"/>
          <w:lang w:val="en-GB"/>
        </w:rPr>
        <w:t xml:space="preserve"> </w:t>
      </w:r>
      <w:r w:rsidR="006F77F5" w:rsidRPr="006F77F5">
        <w:rPr>
          <w:sz w:val="24"/>
          <w:szCs w:val="24"/>
          <w:lang w:val="en-GB"/>
        </w:rPr>
        <w:t>account</w:t>
      </w:r>
      <w:r w:rsidR="00595B14">
        <w:rPr>
          <w:sz w:val="24"/>
          <w:szCs w:val="24"/>
          <w:lang w:val="en-GB"/>
        </w:rPr>
        <w:t>s</w:t>
      </w:r>
      <w:r w:rsidR="006F77F5">
        <w:rPr>
          <w:sz w:val="24"/>
          <w:szCs w:val="24"/>
          <w:lang w:val="en-GB"/>
        </w:rPr>
        <w:t xml:space="preserve"> or </w:t>
      </w:r>
      <w:r w:rsidR="006F77F5" w:rsidRPr="006F77F5">
        <w:rPr>
          <w:sz w:val="24"/>
          <w:szCs w:val="24"/>
          <w:lang w:val="en-GB"/>
        </w:rPr>
        <w:t>deposit account</w:t>
      </w:r>
      <w:r w:rsidR="00A43173">
        <w:rPr>
          <w:sz w:val="24"/>
          <w:szCs w:val="24"/>
          <w:lang w:val="en-GB"/>
        </w:rPr>
        <w:t>s</w:t>
      </w:r>
      <w:r w:rsidR="006F77F5">
        <w:rPr>
          <w:sz w:val="24"/>
          <w:szCs w:val="24"/>
          <w:lang w:val="en-GB"/>
        </w:rPr>
        <w:t xml:space="preserve"> </w:t>
      </w:r>
      <w:r w:rsidR="00FC2E5E">
        <w:rPr>
          <w:sz w:val="24"/>
          <w:szCs w:val="24"/>
          <w:lang w:val="en-GB"/>
        </w:rPr>
        <w:t xml:space="preserve">are not part of </w:t>
      </w:r>
      <w:r w:rsidR="0008383A">
        <w:rPr>
          <w:sz w:val="24"/>
          <w:szCs w:val="24"/>
          <w:lang w:val="en-GB"/>
        </w:rPr>
        <w:t xml:space="preserve">the </w:t>
      </w:r>
      <w:r w:rsidR="00FC2E5E">
        <w:rPr>
          <w:sz w:val="24"/>
          <w:szCs w:val="24"/>
          <w:lang w:val="en-GB"/>
        </w:rPr>
        <w:t>regular data collection in EU-</w:t>
      </w:r>
      <w:r w:rsidR="00A43173">
        <w:rPr>
          <w:sz w:val="24"/>
          <w:szCs w:val="24"/>
          <w:lang w:val="en-GB"/>
        </w:rPr>
        <w:t>SILC.</w:t>
      </w:r>
      <w:r w:rsidR="00FC2E5E">
        <w:rPr>
          <w:sz w:val="24"/>
          <w:szCs w:val="24"/>
          <w:lang w:val="en-GB"/>
        </w:rPr>
        <w:t xml:space="preserve"> </w:t>
      </w:r>
      <w:r w:rsidR="00B70856" w:rsidRPr="00B70856">
        <w:rPr>
          <w:sz w:val="24"/>
          <w:szCs w:val="24"/>
          <w:lang w:val="en-GB"/>
        </w:rPr>
        <w:t>D</w:t>
      </w:r>
      <w:r w:rsidR="00B70856">
        <w:rPr>
          <w:sz w:val="24"/>
          <w:szCs w:val="24"/>
          <w:lang w:val="en-GB"/>
        </w:rPr>
        <w:t>ebts and loans (i.e. money borrowed or lent)</w:t>
      </w:r>
      <w:r w:rsidR="00B70856" w:rsidRPr="00B70856">
        <w:rPr>
          <w:sz w:val="24"/>
          <w:szCs w:val="24"/>
          <w:lang w:val="en-GB"/>
        </w:rPr>
        <w:t xml:space="preserve"> are only </w:t>
      </w:r>
      <w:r w:rsidR="00B70856">
        <w:rPr>
          <w:sz w:val="24"/>
          <w:szCs w:val="24"/>
          <w:lang w:val="en-GB"/>
        </w:rPr>
        <w:t xml:space="preserve">the </w:t>
      </w:r>
      <w:r w:rsidR="00B70856" w:rsidRPr="00B70856">
        <w:rPr>
          <w:sz w:val="24"/>
          <w:szCs w:val="24"/>
          <w:lang w:val="en-GB"/>
        </w:rPr>
        <w:t xml:space="preserve">part of </w:t>
      </w:r>
      <w:r w:rsidR="00B70856">
        <w:rPr>
          <w:sz w:val="24"/>
          <w:szCs w:val="24"/>
          <w:lang w:val="en-GB"/>
        </w:rPr>
        <w:t xml:space="preserve">an </w:t>
      </w:r>
      <w:r w:rsidR="00B70856" w:rsidRPr="00B70856">
        <w:rPr>
          <w:sz w:val="24"/>
          <w:szCs w:val="24"/>
          <w:lang w:val="en-GB"/>
        </w:rPr>
        <w:t xml:space="preserve">occasional </w:t>
      </w:r>
      <w:r w:rsidR="00B70856">
        <w:rPr>
          <w:sz w:val="24"/>
          <w:szCs w:val="24"/>
          <w:lang w:val="en-GB"/>
        </w:rPr>
        <w:t xml:space="preserve">SILC </w:t>
      </w:r>
      <w:r w:rsidR="00B70856" w:rsidRPr="00B70856">
        <w:rPr>
          <w:sz w:val="24"/>
          <w:szCs w:val="24"/>
          <w:lang w:val="en-GB"/>
        </w:rPr>
        <w:t>module.</w:t>
      </w:r>
    </w:p>
    <w:p w:rsidR="00D7516D" w:rsidRDefault="00FC2E5E" w:rsidP="00C459EF">
      <w:pPr>
        <w:jc w:val="both"/>
        <w:rPr>
          <w:sz w:val="24"/>
          <w:szCs w:val="24"/>
          <w:lang w:val="en-GB"/>
        </w:rPr>
      </w:pPr>
      <w:r>
        <w:rPr>
          <w:sz w:val="24"/>
          <w:szCs w:val="24"/>
          <w:lang w:val="en-GB"/>
        </w:rPr>
        <w:t>EU-SILC</w:t>
      </w:r>
      <w:r w:rsidR="00B70856">
        <w:rPr>
          <w:sz w:val="24"/>
          <w:szCs w:val="24"/>
          <w:lang w:val="en-GB"/>
        </w:rPr>
        <w:t xml:space="preserve"> </w:t>
      </w:r>
      <w:r w:rsidR="0008383A">
        <w:rPr>
          <w:sz w:val="24"/>
          <w:szCs w:val="24"/>
          <w:lang w:val="en-GB"/>
        </w:rPr>
        <w:t>as such</w:t>
      </w:r>
      <w:r w:rsidR="00487115">
        <w:rPr>
          <w:sz w:val="24"/>
          <w:szCs w:val="24"/>
          <w:lang w:val="en-GB"/>
        </w:rPr>
        <w:t xml:space="preserve"> </w:t>
      </w:r>
      <w:r w:rsidR="00B70856">
        <w:rPr>
          <w:sz w:val="24"/>
          <w:szCs w:val="24"/>
          <w:lang w:val="en-GB"/>
        </w:rPr>
        <w:t>do</w:t>
      </w:r>
      <w:r>
        <w:rPr>
          <w:sz w:val="24"/>
          <w:szCs w:val="24"/>
          <w:lang w:val="en-GB"/>
        </w:rPr>
        <w:t>es</w:t>
      </w:r>
      <w:r w:rsidR="00B70856">
        <w:rPr>
          <w:sz w:val="24"/>
          <w:szCs w:val="24"/>
          <w:lang w:val="en-GB"/>
        </w:rPr>
        <w:t xml:space="preserve"> not collect any</w:t>
      </w:r>
      <w:r w:rsidR="00595B14">
        <w:rPr>
          <w:sz w:val="24"/>
          <w:szCs w:val="24"/>
          <w:lang w:val="en-GB"/>
        </w:rPr>
        <w:t xml:space="preserve"> </w:t>
      </w:r>
      <w:r w:rsidR="00595B14" w:rsidRPr="00595B14">
        <w:rPr>
          <w:sz w:val="24"/>
          <w:szCs w:val="24"/>
          <w:lang w:val="en-GB"/>
        </w:rPr>
        <w:t xml:space="preserve">amount received by </w:t>
      </w:r>
      <w:r w:rsidR="00595B14">
        <w:rPr>
          <w:sz w:val="24"/>
          <w:szCs w:val="24"/>
          <w:lang w:val="en-GB"/>
        </w:rPr>
        <w:t xml:space="preserve">the </w:t>
      </w:r>
      <w:r w:rsidR="00595B14" w:rsidRPr="00595B14">
        <w:rPr>
          <w:sz w:val="24"/>
          <w:szCs w:val="24"/>
          <w:lang w:val="en-GB"/>
        </w:rPr>
        <w:t xml:space="preserve">household </w:t>
      </w:r>
      <w:r w:rsidR="00B70856" w:rsidRPr="00B70856">
        <w:rPr>
          <w:sz w:val="24"/>
          <w:szCs w:val="24"/>
          <w:lang w:val="en-GB"/>
        </w:rPr>
        <w:t>from old arrears (outstanding salary, pension, scholarship, stopped social assistance etc.) expected to be paid</w:t>
      </w:r>
      <w:r w:rsidR="00595B14">
        <w:rPr>
          <w:sz w:val="24"/>
          <w:szCs w:val="24"/>
          <w:lang w:val="en-GB"/>
        </w:rPr>
        <w:t xml:space="preserve">. </w:t>
      </w:r>
      <w:r w:rsidR="00C459EF" w:rsidRPr="00C459EF">
        <w:rPr>
          <w:sz w:val="24"/>
          <w:szCs w:val="24"/>
          <w:lang w:val="en-GB"/>
        </w:rPr>
        <w:t xml:space="preserve">HIES </w:t>
      </w:r>
      <w:r>
        <w:rPr>
          <w:sz w:val="24"/>
          <w:szCs w:val="24"/>
          <w:lang w:val="en-GB"/>
        </w:rPr>
        <w:t>also collects the</w:t>
      </w:r>
      <w:r w:rsidR="00C459EF" w:rsidRPr="00C459EF">
        <w:rPr>
          <w:sz w:val="24"/>
          <w:szCs w:val="24"/>
          <w:lang w:val="en-GB"/>
        </w:rPr>
        <w:t xml:space="preserve"> data on </w:t>
      </w:r>
      <w:r w:rsidR="00C459EF">
        <w:rPr>
          <w:sz w:val="24"/>
          <w:szCs w:val="24"/>
          <w:lang w:val="en-GB"/>
        </w:rPr>
        <w:t>the</w:t>
      </w:r>
      <w:r w:rsidR="00C459EF" w:rsidRPr="00E9007A">
        <w:rPr>
          <w:spacing w:val="-20"/>
          <w:sz w:val="24"/>
          <w:szCs w:val="24"/>
          <w:lang w:val="en-GB"/>
        </w:rPr>
        <w:t xml:space="preserve"> </w:t>
      </w:r>
      <w:r w:rsidR="00C459EF" w:rsidRPr="00C459EF">
        <w:rPr>
          <w:sz w:val="24"/>
          <w:szCs w:val="24"/>
          <w:lang w:val="en-GB"/>
        </w:rPr>
        <w:t xml:space="preserve">amount </w:t>
      </w:r>
      <w:r w:rsidR="00C459EF">
        <w:rPr>
          <w:sz w:val="24"/>
          <w:szCs w:val="24"/>
          <w:lang w:val="en-GB"/>
        </w:rPr>
        <w:t xml:space="preserve">in GEL </w:t>
      </w:r>
      <w:r w:rsidR="00C459EF" w:rsidRPr="00C459EF">
        <w:rPr>
          <w:sz w:val="24"/>
          <w:szCs w:val="24"/>
          <w:lang w:val="en-GB"/>
        </w:rPr>
        <w:t>received as</w:t>
      </w:r>
      <w:r w:rsidR="00662A8B">
        <w:rPr>
          <w:sz w:val="24"/>
          <w:szCs w:val="24"/>
          <w:lang w:val="en-GB"/>
        </w:rPr>
        <w:t xml:space="preserve"> </w:t>
      </w:r>
      <w:r w:rsidR="00C459EF" w:rsidRPr="00C459EF">
        <w:rPr>
          <w:sz w:val="24"/>
          <w:szCs w:val="24"/>
          <w:lang w:val="en-GB"/>
        </w:rPr>
        <w:t>a</w:t>
      </w:r>
      <w:r w:rsidR="00C459EF">
        <w:rPr>
          <w:sz w:val="24"/>
          <w:szCs w:val="24"/>
          <w:lang w:val="en-GB"/>
        </w:rPr>
        <w:t> </w:t>
      </w:r>
      <w:r w:rsidR="00C459EF" w:rsidRPr="00C459EF">
        <w:rPr>
          <w:sz w:val="24"/>
          <w:szCs w:val="24"/>
          <w:lang w:val="en-GB"/>
        </w:rPr>
        <w:t>repayment</w:t>
      </w:r>
      <w:r w:rsidR="00E9007A">
        <w:rPr>
          <w:sz w:val="24"/>
          <w:szCs w:val="24"/>
          <w:lang w:val="en-GB"/>
        </w:rPr>
        <w:t xml:space="preserve"> </w:t>
      </w:r>
      <w:r w:rsidR="00C459EF">
        <w:rPr>
          <w:sz w:val="24"/>
          <w:szCs w:val="24"/>
          <w:lang w:val="en-GB"/>
        </w:rPr>
        <w:t xml:space="preserve">for </w:t>
      </w:r>
      <w:r w:rsidR="00C459EF" w:rsidRPr="00C459EF">
        <w:rPr>
          <w:sz w:val="24"/>
          <w:szCs w:val="24"/>
          <w:lang w:val="en-GB"/>
        </w:rPr>
        <w:t>goods</w:t>
      </w:r>
      <w:r w:rsidR="00C459EF">
        <w:rPr>
          <w:sz w:val="24"/>
          <w:szCs w:val="24"/>
          <w:lang w:val="en-GB"/>
        </w:rPr>
        <w:t xml:space="preserve">, </w:t>
      </w:r>
      <w:r w:rsidR="00C459EF" w:rsidRPr="00C459EF">
        <w:rPr>
          <w:sz w:val="24"/>
          <w:szCs w:val="24"/>
          <w:lang w:val="en-GB"/>
        </w:rPr>
        <w:t xml:space="preserve">property or services </w:t>
      </w:r>
      <w:r w:rsidR="00C459EF">
        <w:rPr>
          <w:sz w:val="24"/>
          <w:szCs w:val="24"/>
          <w:lang w:val="en-GB"/>
        </w:rPr>
        <w:t>previously sol</w:t>
      </w:r>
      <w:r w:rsidR="00C459EF" w:rsidRPr="00C459EF">
        <w:rPr>
          <w:sz w:val="24"/>
          <w:szCs w:val="24"/>
          <w:lang w:val="en-GB"/>
        </w:rPr>
        <w:t>d on credit.</w:t>
      </w:r>
      <w:r w:rsidR="00C459EF">
        <w:rPr>
          <w:sz w:val="24"/>
          <w:szCs w:val="24"/>
          <w:lang w:val="en-GB"/>
        </w:rPr>
        <w:t xml:space="preserve"> </w:t>
      </w:r>
      <w:r w:rsidR="00E9007A">
        <w:rPr>
          <w:sz w:val="24"/>
          <w:szCs w:val="24"/>
          <w:lang w:val="en-GB"/>
        </w:rPr>
        <w:t>T</w:t>
      </w:r>
      <w:r w:rsidR="00C459EF" w:rsidRPr="00A05B20">
        <w:rPr>
          <w:sz w:val="24"/>
          <w:szCs w:val="24"/>
          <w:lang w:val="en-GB"/>
        </w:rPr>
        <w:t xml:space="preserve">his should </w:t>
      </w:r>
      <w:r w:rsidR="00E9007A">
        <w:rPr>
          <w:sz w:val="24"/>
          <w:szCs w:val="24"/>
          <w:lang w:val="en-GB"/>
        </w:rPr>
        <w:t xml:space="preserve">not </w:t>
      </w:r>
      <w:r w:rsidR="00C459EF" w:rsidRPr="00A05B20">
        <w:rPr>
          <w:sz w:val="24"/>
          <w:szCs w:val="24"/>
          <w:lang w:val="en-GB"/>
        </w:rPr>
        <w:t xml:space="preserve">be </w:t>
      </w:r>
      <w:r w:rsidR="00D7516D">
        <w:rPr>
          <w:sz w:val="24"/>
          <w:szCs w:val="24"/>
          <w:lang w:val="en-GB"/>
        </w:rPr>
        <w:t>included</w:t>
      </w:r>
      <w:r w:rsidR="008A6F2B">
        <w:rPr>
          <w:sz w:val="24"/>
          <w:szCs w:val="24"/>
          <w:lang w:val="en-GB"/>
        </w:rPr>
        <w:t xml:space="preserve"> in the income part</w:t>
      </w:r>
      <w:r w:rsidR="00E9007A">
        <w:rPr>
          <w:sz w:val="24"/>
          <w:szCs w:val="24"/>
          <w:lang w:val="en-GB"/>
        </w:rPr>
        <w:t xml:space="preserve"> as well</w:t>
      </w:r>
      <w:r w:rsidR="00D7516D">
        <w:rPr>
          <w:sz w:val="24"/>
          <w:szCs w:val="24"/>
          <w:lang w:val="en-GB"/>
        </w:rPr>
        <w:t>.</w:t>
      </w:r>
    </w:p>
    <w:p w:rsidR="00FC2E5E" w:rsidRDefault="00FC2E5E" w:rsidP="00C459EF">
      <w:pPr>
        <w:jc w:val="both"/>
        <w:rPr>
          <w:sz w:val="24"/>
          <w:szCs w:val="24"/>
          <w:lang w:val="en-GB"/>
        </w:rPr>
      </w:pPr>
      <w:r w:rsidRPr="00880AAF">
        <w:rPr>
          <w:i/>
          <w:sz w:val="24"/>
          <w:szCs w:val="24"/>
          <w:lang w:val="en-GB"/>
        </w:rPr>
        <w:lastRenderedPageBreak/>
        <w:t>Related issue to</w:t>
      </w:r>
      <w:r w:rsidRPr="00A80FBF">
        <w:rPr>
          <w:i/>
          <w:spacing w:val="-20"/>
          <w:sz w:val="24"/>
          <w:szCs w:val="24"/>
          <w:lang w:val="en-GB"/>
        </w:rPr>
        <w:t xml:space="preserve"> </w:t>
      </w:r>
      <w:r w:rsidRPr="00880AAF">
        <w:rPr>
          <w:i/>
          <w:sz w:val="24"/>
          <w:szCs w:val="24"/>
          <w:lang w:val="en-GB"/>
        </w:rPr>
        <w:t>be discussed and further assessed:</w:t>
      </w:r>
      <w:r>
        <w:rPr>
          <w:i/>
          <w:sz w:val="24"/>
          <w:szCs w:val="24"/>
          <w:lang w:val="en-GB"/>
        </w:rPr>
        <w:t xml:space="preserve"> the position of these items </w:t>
      </w:r>
      <w:r w:rsidRPr="0007266E">
        <w:rPr>
          <w:i/>
          <w:sz w:val="24"/>
          <w:szCs w:val="24"/>
          <w:lang w:val="en-GB"/>
        </w:rPr>
        <w:t>vis-à-vis</w:t>
      </w:r>
      <w:r>
        <w:rPr>
          <w:i/>
          <w:sz w:val="24"/>
          <w:szCs w:val="24"/>
          <w:lang w:val="en-GB"/>
        </w:rPr>
        <w:t xml:space="preserve"> the</w:t>
      </w:r>
      <w:r w:rsidR="00A80FBF">
        <w:rPr>
          <w:i/>
          <w:sz w:val="24"/>
          <w:szCs w:val="24"/>
          <w:lang w:val="en-GB"/>
        </w:rPr>
        <w:t> </w:t>
      </w:r>
      <w:r>
        <w:rPr>
          <w:i/>
          <w:sz w:val="24"/>
          <w:szCs w:val="24"/>
          <w:lang w:val="en-GB"/>
        </w:rPr>
        <w:t>total household income aggregate and their inclusion into the total income for calculation of the EU income based indicators</w:t>
      </w:r>
      <w:r w:rsidR="00DC76BF">
        <w:rPr>
          <w:i/>
          <w:sz w:val="24"/>
          <w:szCs w:val="24"/>
          <w:lang w:val="en-GB"/>
        </w:rPr>
        <w:t>.</w:t>
      </w:r>
    </w:p>
    <w:p w:rsidR="00F905E6" w:rsidRPr="00F905E6" w:rsidRDefault="00F905E6" w:rsidP="00A80FBF">
      <w:pPr>
        <w:pStyle w:val="Undertitel"/>
        <w:rPr>
          <w:lang w:val="en-GB"/>
        </w:rPr>
      </w:pPr>
      <w:r w:rsidRPr="00831E66">
        <w:rPr>
          <w:lang w:val="en-GB"/>
        </w:rPr>
        <w:t>Part II</w:t>
      </w:r>
      <w:r>
        <w:rPr>
          <w:lang w:val="en-GB"/>
        </w:rPr>
        <w:t xml:space="preserve"> – 2. B</w:t>
      </w:r>
      <w:r w:rsidRPr="00F905E6">
        <w:rPr>
          <w:szCs w:val="24"/>
          <w:lang w:val="en-GB"/>
        </w:rPr>
        <w:t>uying and selling a prope</w:t>
      </w:r>
      <w:r>
        <w:rPr>
          <w:szCs w:val="24"/>
          <w:lang w:val="en-GB"/>
        </w:rPr>
        <w:t>rty</w:t>
      </w:r>
    </w:p>
    <w:p w:rsidR="00F905E6" w:rsidRDefault="00FC2E5E" w:rsidP="00C459EF">
      <w:pPr>
        <w:jc w:val="both"/>
        <w:rPr>
          <w:sz w:val="24"/>
          <w:szCs w:val="24"/>
          <w:lang w:val="en-GB"/>
        </w:rPr>
      </w:pPr>
      <w:r>
        <w:rPr>
          <w:sz w:val="24"/>
          <w:szCs w:val="24"/>
          <w:lang w:val="en-GB"/>
        </w:rPr>
        <w:t>T</w:t>
      </w:r>
      <w:r w:rsidR="00193813" w:rsidRPr="00193813">
        <w:rPr>
          <w:sz w:val="24"/>
          <w:szCs w:val="24"/>
          <w:lang w:val="en-GB"/>
        </w:rPr>
        <w:t>he</w:t>
      </w:r>
      <w:r w:rsidR="00193813" w:rsidRPr="00193813">
        <w:rPr>
          <w:spacing w:val="-20"/>
          <w:sz w:val="24"/>
          <w:szCs w:val="24"/>
          <w:lang w:val="en-GB"/>
        </w:rPr>
        <w:t xml:space="preserve"> </w:t>
      </w:r>
      <w:r w:rsidR="00193813" w:rsidRPr="00193813">
        <w:rPr>
          <w:sz w:val="24"/>
          <w:szCs w:val="24"/>
          <w:lang w:val="en-GB"/>
        </w:rPr>
        <w:t>EU-SILC survey does</w:t>
      </w:r>
      <w:r w:rsidR="00193813" w:rsidRPr="00193813">
        <w:rPr>
          <w:spacing w:val="-20"/>
          <w:sz w:val="24"/>
          <w:szCs w:val="24"/>
          <w:lang w:val="en-GB"/>
        </w:rPr>
        <w:t xml:space="preserve"> </w:t>
      </w:r>
      <w:r w:rsidR="00193813" w:rsidRPr="00193813">
        <w:rPr>
          <w:sz w:val="24"/>
          <w:szCs w:val="24"/>
          <w:lang w:val="en-GB"/>
        </w:rPr>
        <w:t xml:space="preserve">not </w:t>
      </w:r>
      <w:r w:rsidR="00193813">
        <w:rPr>
          <w:sz w:val="24"/>
          <w:szCs w:val="24"/>
          <w:lang w:val="en-GB"/>
        </w:rPr>
        <w:t xml:space="preserve">cover </w:t>
      </w:r>
      <w:r w:rsidR="00193813" w:rsidRPr="00193813">
        <w:rPr>
          <w:sz w:val="24"/>
          <w:szCs w:val="24"/>
          <w:lang w:val="en-GB"/>
        </w:rPr>
        <w:t xml:space="preserve">wealth </w:t>
      </w:r>
      <w:r w:rsidR="00193813">
        <w:rPr>
          <w:sz w:val="24"/>
          <w:szCs w:val="24"/>
          <w:lang w:val="en-GB"/>
        </w:rPr>
        <w:t xml:space="preserve">and property issues and </w:t>
      </w:r>
      <w:r w:rsidR="00193813" w:rsidRPr="00193813">
        <w:rPr>
          <w:sz w:val="24"/>
          <w:szCs w:val="24"/>
          <w:lang w:val="en-GB"/>
        </w:rPr>
        <w:t xml:space="preserve">therefore </w:t>
      </w:r>
      <w:r w:rsidR="00193813">
        <w:rPr>
          <w:sz w:val="24"/>
          <w:szCs w:val="24"/>
          <w:lang w:val="en-GB"/>
        </w:rPr>
        <w:t>does</w:t>
      </w:r>
      <w:r w:rsidR="00193813" w:rsidRPr="00193813">
        <w:rPr>
          <w:spacing w:val="-20"/>
          <w:sz w:val="24"/>
          <w:szCs w:val="24"/>
          <w:lang w:val="en-GB"/>
        </w:rPr>
        <w:t xml:space="preserve"> </w:t>
      </w:r>
      <w:r w:rsidR="00193813">
        <w:rPr>
          <w:sz w:val="24"/>
          <w:szCs w:val="24"/>
          <w:lang w:val="en-GB"/>
        </w:rPr>
        <w:t xml:space="preserve">not </w:t>
      </w:r>
      <w:r w:rsidR="001A533E">
        <w:rPr>
          <w:sz w:val="24"/>
          <w:szCs w:val="24"/>
          <w:lang w:val="en-GB"/>
        </w:rPr>
        <w:t xml:space="preserve">collect information on </w:t>
      </w:r>
      <w:r w:rsidR="00193813" w:rsidRPr="00193813">
        <w:rPr>
          <w:sz w:val="24"/>
          <w:szCs w:val="24"/>
          <w:lang w:val="en-GB"/>
        </w:rPr>
        <w:t>assets</w:t>
      </w:r>
      <w:r w:rsidR="00193813">
        <w:rPr>
          <w:sz w:val="24"/>
          <w:szCs w:val="24"/>
          <w:lang w:val="en-GB"/>
        </w:rPr>
        <w:t>.</w:t>
      </w:r>
      <w:r w:rsidR="00193813" w:rsidRPr="00193813">
        <w:rPr>
          <w:spacing w:val="-20"/>
          <w:sz w:val="24"/>
          <w:szCs w:val="24"/>
          <w:lang w:val="en-GB"/>
        </w:rPr>
        <w:t xml:space="preserve"> </w:t>
      </w:r>
    </w:p>
    <w:p w:rsidR="00FC2E5E" w:rsidRDefault="00FC2E5E" w:rsidP="00FC2E5E">
      <w:pPr>
        <w:jc w:val="both"/>
        <w:rPr>
          <w:sz w:val="24"/>
          <w:szCs w:val="24"/>
          <w:lang w:val="en-GB"/>
        </w:rPr>
      </w:pPr>
      <w:r>
        <w:rPr>
          <w:sz w:val="24"/>
          <w:szCs w:val="24"/>
          <w:lang w:val="en-GB"/>
        </w:rPr>
        <w:t xml:space="preserve">For the sake of the EU income based indicators, we recommend not to include </w:t>
      </w:r>
      <w:r w:rsidRPr="00FC7FEB">
        <w:rPr>
          <w:sz w:val="24"/>
          <w:szCs w:val="24"/>
          <w:lang w:val="en-GB"/>
        </w:rPr>
        <w:t>Other</w:t>
      </w:r>
      <w:r>
        <w:rPr>
          <w:sz w:val="24"/>
          <w:szCs w:val="24"/>
          <w:lang w:val="en-GB"/>
        </w:rPr>
        <w:t xml:space="preserve"> </w:t>
      </w:r>
      <w:r w:rsidRPr="00FC7FEB">
        <w:rPr>
          <w:sz w:val="24"/>
          <w:szCs w:val="24"/>
          <w:lang w:val="en-GB"/>
        </w:rPr>
        <w:t>cash resources</w:t>
      </w:r>
      <w:r>
        <w:rPr>
          <w:sz w:val="24"/>
          <w:szCs w:val="24"/>
          <w:lang w:val="en-GB"/>
        </w:rPr>
        <w:t xml:space="preserve"> (line 11), which is the sum of (lines 9+10) </w:t>
      </w:r>
      <w:r w:rsidRPr="00FC7FEB">
        <w:rPr>
          <w:sz w:val="24"/>
          <w:szCs w:val="24"/>
          <w:lang w:val="en-GB"/>
        </w:rPr>
        <w:t>Sale of property</w:t>
      </w:r>
      <w:r>
        <w:rPr>
          <w:sz w:val="24"/>
          <w:szCs w:val="24"/>
          <w:lang w:val="en-GB"/>
        </w:rPr>
        <w:t xml:space="preserve">, </w:t>
      </w:r>
      <w:r w:rsidRPr="00FC7FEB">
        <w:rPr>
          <w:sz w:val="24"/>
          <w:szCs w:val="24"/>
          <w:lang w:val="en-GB"/>
        </w:rPr>
        <w:t xml:space="preserve">Cash borrowings </w:t>
      </w:r>
      <w:r>
        <w:rPr>
          <w:sz w:val="24"/>
          <w:szCs w:val="24"/>
          <w:lang w:val="en-GB"/>
        </w:rPr>
        <w:t>and U</w:t>
      </w:r>
      <w:r w:rsidRPr="00FC7FEB">
        <w:rPr>
          <w:sz w:val="24"/>
          <w:szCs w:val="24"/>
          <w:lang w:val="en-GB"/>
        </w:rPr>
        <w:t>se of savings</w:t>
      </w:r>
      <w:r>
        <w:rPr>
          <w:sz w:val="24"/>
          <w:szCs w:val="24"/>
          <w:lang w:val="en-GB"/>
        </w:rPr>
        <w:t xml:space="preserve"> in the total </w:t>
      </w:r>
      <w:r w:rsidRPr="002D0A62">
        <w:rPr>
          <w:sz w:val="24"/>
          <w:szCs w:val="24"/>
          <w:lang w:val="en-GB"/>
        </w:rPr>
        <w:t>household income</w:t>
      </w:r>
      <w:r>
        <w:rPr>
          <w:sz w:val="24"/>
          <w:szCs w:val="24"/>
          <w:lang w:val="en-GB"/>
        </w:rPr>
        <w:t xml:space="preserve"> used for that purpose.</w:t>
      </w:r>
    </w:p>
    <w:p w:rsidR="00FC2E5E" w:rsidRDefault="00FC2E5E" w:rsidP="00FC2E5E">
      <w:pPr>
        <w:jc w:val="both"/>
        <w:rPr>
          <w:sz w:val="24"/>
          <w:szCs w:val="24"/>
          <w:lang w:val="en-GB"/>
        </w:rPr>
      </w:pPr>
      <w:r>
        <w:rPr>
          <w:sz w:val="24"/>
          <w:szCs w:val="24"/>
          <w:lang w:val="en-GB"/>
        </w:rPr>
        <w:t xml:space="preserve">The Georgian questionnaire includes those kinds of income from sale, but as indicated in the HIES income components and aggregates specification </w:t>
      </w:r>
      <w:r w:rsidRPr="002D0A62">
        <w:rPr>
          <w:sz w:val="24"/>
          <w:szCs w:val="24"/>
          <w:lang w:val="en-GB"/>
        </w:rPr>
        <w:t xml:space="preserve">table </w:t>
      </w:r>
      <w:r>
        <w:rPr>
          <w:sz w:val="24"/>
          <w:szCs w:val="24"/>
          <w:lang w:val="en-GB"/>
        </w:rPr>
        <w:t xml:space="preserve">earlier in </w:t>
      </w:r>
      <w:r w:rsidRPr="002D0A62">
        <w:rPr>
          <w:sz w:val="24"/>
          <w:szCs w:val="24"/>
          <w:lang w:val="en-GB"/>
        </w:rPr>
        <w:t xml:space="preserve">this document, it is not included in </w:t>
      </w:r>
      <w:r>
        <w:rPr>
          <w:sz w:val="24"/>
          <w:szCs w:val="24"/>
          <w:lang w:val="en-GB"/>
        </w:rPr>
        <w:t xml:space="preserve">the Total </w:t>
      </w:r>
      <w:r w:rsidRPr="002D0A62">
        <w:rPr>
          <w:sz w:val="24"/>
          <w:szCs w:val="24"/>
          <w:lang w:val="en-GB"/>
        </w:rPr>
        <w:t>household income</w:t>
      </w:r>
      <w:r>
        <w:rPr>
          <w:sz w:val="24"/>
          <w:szCs w:val="24"/>
          <w:lang w:val="en-GB"/>
        </w:rPr>
        <w:t xml:space="preserve"> (line 13), which therefore is fully </w:t>
      </w:r>
      <w:r w:rsidRPr="00FC7FEB">
        <w:rPr>
          <w:sz w:val="24"/>
          <w:szCs w:val="24"/>
          <w:lang w:val="en-GB"/>
        </w:rPr>
        <w:t xml:space="preserve">in compliance with the </w:t>
      </w:r>
      <w:r>
        <w:rPr>
          <w:sz w:val="24"/>
          <w:szCs w:val="24"/>
          <w:lang w:val="en-GB"/>
        </w:rPr>
        <w:t>concept and content of the total household disposable income used for the EU income based indicators</w:t>
      </w:r>
      <w:r w:rsidRPr="00FC7FEB">
        <w:rPr>
          <w:sz w:val="24"/>
          <w:szCs w:val="24"/>
          <w:lang w:val="en-GB"/>
        </w:rPr>
        <w:t>.</w:t>
      </w:r>
      <w:r>
        <w:rPr>
          <w:sz w:val="24"/>
          <w:szCs w:val="24"/>
          <w:lang w:val="en-GB"/>
        </w:rPr>
        <w:t xml:space="preserve"> The provision of a more extended cash-flow oriented aggregate item (total cash resources) can be seen as a good practice and additional user benefit utilising the multi-purpose character of the HIES survey and thus more extended coverage covering to some</w:t>
      </w:r>
      <w:r w:rsidR="00487115">
        <w:rPr>
          <w:sz w:val="24"/>
          <w:szCs w:val="24"/>
          <w:lang w:val="en-GB"/>
        </w:rPr>
        <w:t xml:space="preserve"> </w:t>
      </w:r>
      <w:r>
        <w:rPr>
          <w:sz w:val="24"/>
          <w:szCs w:val="24"/>
          <w:lang w:val="en-GB"/>
        </w:rPr>
        <w:t>extend also the asset side of the household economy and finances.</w:t>
      </w:r>
    </w:p>
    <w:p w:rsidR="00FC4ED9" w:rsidRPr="00FC4ED9" w:rsidRDefault="00FC4ED9" w:rsidP="00A80FBF">
      <w:pPr>
        <w:pStyle w:val="Undertitel"/>
        <w:rPr>
          <w:lang w:val="en-GB"/>
        </w:rPr>
      </w:pPr>
      <w:r w:rsidRPr="00831E66">
        <w:rPr>
          <w:lang w:val="en-GB"/>
        </w:rPr>
        <w:t>Part II</w:t>
      </w:r>
      <w:r>
        <w:rPr>
          <w:lang w:val="en-GB"/>
        </w:rPr>
        <w:t xml:space="preserve"> – 3. </w:t>
      </w:r>
      <w:r w:rsidRPr="00FC4ED9">
        <w:rPr>
          <w:szCs w:val="24"/>
          <w:lang w:val="en-GB"/>
        </w:rPr>
        <w:t>Other change in the property status</w:t>
      </w:r>
    </w:p>
    <w:p w:rsidR="00E70A65" w:rsidRDefault="00FC4ED9" w:rsidP="00FC4ED9">
      <w:pPr>
        <w:jc w:val="both"/>
        <w:rPr>
          <w:sz w:val="24"/>
          <w:szCs w:val="24"/>
          <w:lang w:val="en-GB"/>
        </w:rPr>
      </w:pPr>
      <w:r w:rsidRPr="00FC4ED9">
        <w:rPr>
          <w:sz w:val="24"/>
          <w:szCs w:val="24"/>
          <w:lang w:val="en-GB"/>
        </w:rPr>
        <w:t>The aim is to find out whether the household (</w:t>
      </w:r>
      <w:r w:rsidR="00EE7747">
        <w:rPr>
          <w:sz w:val="24"/>
          <w:szCs w:val="24"/>
          <w:lang w:val="en-GB"/>
        </w:rPr>
        <w:t xml:space="preserve">or </w:t>
      </w:r>
      <w:r w:rsidRPr="00FC4ED9">
        <w:rPr>
          <w:sz w:val="24"/>
          <w:szCs w:val="24"/>
          <w:lang w:val="en-GB"/>
        </w:rPr>
        <w:t>one of the members) has received real estate or expensive durables in the form of inheritance or a gift during the last three months.</w:t>
      </w:r>
      <w:r w:rsidR="00E70A65">
        <w:rPr>
          <w:sz w:val="24"/>
          <w:szCs w:val="24"/>
          <w:lang w:val="en-GB"/>
        </w:rPr>
        <w:t xml:space="preserve"> And </w:t>
      </w:r>
      <w:r w:rsidR="00EE7747">
        <w:rPr>
          <w:sz w:val="24"/>
          <w:szCs w:val="24"/>
          <w:lang w:val="en-GB"/>
        </w:rPr>
        <w:t>there is also a</w:t>
      </w:r>
      <w:r w:rsidR="00E70A65">
        <w:rPr>
          <w:sz w:val="24"/>
          <w:szCs w:val="24"/>
          <w:lang w:val="en-GB"/>
        </w:rPr>
        <w:t xml:space="preserve"> r</w:t>
      </w:r>
      <w:r w:rsidR="00E70A65" w:rsidRPr="00E70A65">
        <w:rPr>
          <w:sz w:val="24"/>
          <w:szCs w:val="24"/>
          <w:lang w:val="en-GB"/>
        </w:rPr>
        <w:t>everse version of th</w:t>
      </w:r>
      <w:r w:rsidR="00E70A65">
        <w:rPr>
          <w:sz w:val="24"/>
          <w:szCs w:val="24"/>
          <w:lang w:val="en-GB"/>
        </w:rPr>
        <w:t xml:space="preserve">is </w:t>
      </w:r>
      <w:r w:rsidR="00E70A65" w:rsidRPr="00E70A65">
        <w:rPr>
          <w:sz w:val="24"/>
          <w:szCs w:val="24"/>
          <w:lang w:val="en-GB"/>
        </w:rPr>
        <w:t xml:space="preserve">question </w:t>
      </w:r>
      <w:r w:rsidR="00E70A65">
        <w:rPr>
          <w:sz w:val="24"/>
          <w:szCs w:val="24"/>
          <w:lang w:val="en-GB"/>
        </w:rPr>
        <w:t xml:space="preserve">– </w:t>
      </w:r>
      <w:r w:rsidRPr="00FC4ED9">
        <w:rPr>
          <w:sz w:val="24"/>
          <w:szCs w:val="24"/>
          <w:lang w:val="en-GB"/>
        </w:rPr>
        <w:t xml:space="preserve">real estate or expensive items </w:t>
      </w:r>
      <w:r w:rsidR="004A2D5B">
        <w:rPr>
          <w:sz w:val="24"/>
          <w:szCs w:val="24"/>
          <w:lang w:val="en-GB"/>
        </w:rPr>
        <w:t>transferred to</w:t>
      </w:r>
      <w:r w:rsidR="00E70A65">
        <w:rPr>
          <w:sz w:val="24"/>
          <w:szCs w:val="24"/>
          <w:lang w:val="en-GB"/>
        </w:rPr>
        <w:t xml:space="preserve"> somebody</w:t>
      </w:r>
      <w:r w:rsidR="004A2D5B">
        <w:rPr>
          <w:sz w:val="24"/>
          <w:szCs w:val="24"/>
          <w:lang w:val="en-GB"/>
        </w:rPr>
        <w:t xml:space="preserve"> outside of the household</w:t>
      </w:r>
      <w:r w:rsidR="00E70A65">
        <w:rPr>
          <w:sz w:val="24"/>
          <w:szCs w:val="24"/>
          <w:lang w:val="en-GB"/>
        </w:rPr>
        <w:t xml:space="preserve"> i</w:t>
      </w:r>
      <w:r w:rsidRPr="00FC4ED9">
        <w:rPr>
          <w:sz w:val="24"/>
          <w:szCs w:val="24"/>
          <w:lang w:val="en-GB"/>
        </w:rPr>
        <w:t>n the form of i</w:t>
      </w:r>
      <w:r w:rsidR="00E70A65">
        <w:rPr>
          <w:sz w:val="24"/>
          <w:szCs w:val="24"/>
          <w:lang w:val="en-GB"/>
        </w:rPr>
        <w:t>nheritance or a gift.</w:t>
      </w:r>
    </w:p>
    <w:p w:rsidR="00D35DE1" w:rsidRDefault="001A533E" w:rsidP="00FC4ED9">
      <w:pPr>
        <w:jc w:val="both"/>
        <w:rPr>
          <w:rFonts w:eastAsia="Times New Roman" w:cstheme="minorHAnsi"/>
          <w:sz w:val="24"/>
          <w:szCs w:val="24"/>
          <w:lang w:val="en" w:eastAsia="cs-CZ"/>
        </w:rPr>
      </w:pPr>
      <w:r>
        <w:rPr>
          <w:sz w:val="24"/>
          <w:szCs w:val="24"/>
          <w:lang w:val="en-GB"/>
        </w:rPr>
        <w:t>According to the EU</w:t>
      </w:r>
      <w:r w:rsidR="00A80FBF">
        <w:rPr>
          <w:sz w:val="24"/>
          <w:szCs w:val="24"/>
          <w:lang w:val="en-GB"/>
        </w:rPr>
        <w:t>-SILC</w:t>
      </w:r>
      <w:r>
        <w:rPr>
          <w:sz w:val="24"/>
          <w:szCs w:val="24"/>
          <w:lang w:val="en-GB"/>
        </w:rPr>
        <w:t xml:space="preserve"> definition this is not considered as income component</w:t>
      </w:r>
      <w:r w:rsidR="007C4129">
        <w:rPr>
          <w:sz w:val="24"/>
          <w:szCs w:val="24"/>
          <w:lang w:val="en-GB"/>
        </w:rPr>
        <w:t xml:space="preserve">. These are </w:t>
      </w:r>
      <w:r w:rsidR="007C4129">
        <w:rPr>
          <w:rFonts w:eastAsia="Times New Roman" w:cstheme="minorHAnsi"/>
          <w:sz w:val="24"/>
          <w:szCs w:val="24"/>
          <w:lang w:val="en" w:eastAsia="cs-CZ"/>
        </w:rPr>
        <w:t>considered as the capital transfers, affecting assets of the household, but not its disposable income at the time of their receiving.</w:t>
      </w:r>
    </w:p>
    <w:p w:rsidR="007C4129" w:rsidRDefault="007C4129" w:rsidP="00FC4ED9">
      <w:pPr>
        <w:jc w:val="both"/>
        <w:rPr>
          <w:sz w:val="24"/>
          <w:szCs w:val="24"/>
          <w:lang w:val="en-GB"/>
        </w:rPr>
      </w:pPr>
      <w:r w:rsidRPr="00880AAF">
        <w:rPr>
          <w:i/>
          <w:sz w:val="24"/>
          <w:szCs w:val="24"/>
          <w:lang w:val="en-GB"/>
        </w:rPr>
        <w:t>Related issue to be discussed and further assessed:</w:t>
      </w:r>
      <w:r>
        <w:rPr>
          <w:i/>
          <w:sz w:val="24"/>
          <w:szCs w:val="24"/>
          <w:lang w:val="en-GB"/>
        </w:rPr>
        <w:t xml:space="preserve"> confirm the position of these items with respect to their inclusion / non-inclusion in the total income aggregate and non-cash income aggregate.</w:t>
      </w:r>
    </w:p>
    <w:p w:rsidR="001374A8" w:rsidRDefault="001374A8" w:rsidP="001374A8">
      <w:pPr>
        <w:pStyle w:val="Undertitel"/>
        <w:rPr>
          <w:lang w:val="en-GB"/>
        </w:rPr>
      </w:pPr>
      <w:r w:rsidRPr="00831E66">
        <w:rPr>
          <w:lang w:val="en-GB"/>
        </w:rPr>
        <w:t>Part II</w:t>
      </w:r>
      <w:r>
        <w:rPr>
          <w:lang w:val="en-GB"/>
        </w:rPr>
        <w:t xml:space="preserve"> – 4. </w:t>
      </w:r>
      <w:r w:rsidRPr="001374A8">
        <w:rPr>
          <w:lang w:val="en-GB"/>
        </w:rPr>
        <w:t>Transfers received by and s</w:t>
      </w:r>
      <w:r>
        <w:rPr>
          <w:lang w:val="en-GB"/>
        </w:rPr>
        <w:t xml:space="preserve">ent to the members having left </w:t>
      </w:r>
    </w:p>
    <w:p w:rsidR="009B5AB2" w:rsidRDefault="0072198E" w:rsidP="0072198E">
      <w:pPr>
        <w:jc w:val="both"/>
        <w:rPr>
          <w:sz w:val="24"/>
          <w:szCs w:val="24"/>
          <w:lang w:val="en-GB"/>
        </w:rPr>
      </w:pPr>
      <w:r w:rsidRPr="0072198E">
        <w:rPr>
          <w:sz w:val="24"/>
          <w:szCs w:val="24"/>
          <w:lang w:val="en-GB"/>
        </w:rPr>
        <w:t>This whole part of the questionnaire is about people who are no longer members of the</w:t>
      </w:r>
      <w:r>
        <w:rPr>
          <w:sz w:val="24"/>
          <w:szCs w:val="24"/>
          <w:lang w:val="en-GB"/>
        </w:rPr>
        <w:t xml:space="preserve"> </w:t>
      </w:r>
      <w:r w:rsidRPr="0072198E">
        <w:rPr>
          <w:sz w:val="24"/>
          <w:szCs w:val="24"/>
          <w:lang w:val="en-GB"/>
        </w:rPr>
        <w:t>household</w:t>
      </w:r>
      <w:r>
        <w:rPr>
          <w:sz w:val="24"/>
          <w:szCs w:val="24"/>
          <w:lang w:val="en-GB"/>
        </w:rPr>
        <w:t xml:space="preserve">, which means they </w:t>
      </w:r>
      <w:r w:rsidRPr="0072198E">
        <w:rPr>
          <w:sz w:val="24"/>
          <w:szCs w:val="24"/>
          <w:lang w:val="en-GB"/>
        </w:rPr>
        <w:t>are not included in the household composition</w:t>
      </w:r>
      <w:r>
        <w:rPr>
          <w:sz w:val="24"/>
          <w:szCs w:val="24"/>
          <w:lang w:val="en-GB"/>
        </w:rPr>
        <w:t>. M</w:t>
      </w:r>
      <w:r w:rsidRPr="0072198E">
        <w:rPr>
          <w:sz w:val="24"/>
          <w:szCs w:val="24"/>
          <w:lang w:val="en-GB"/>
        </w:rPr>
        <w:t>oreover</w:t>
      </w:r>
      <w:r>
        <w:rPr>
          <w:sz w:val="24"/>
          <w:szCs w:val="24"/>
          <w:lang w:val="en-GB"/>
        </w:rPr>
        <w:t xml:space="preserve"> it</w:t>
      </w:r>
      <w:r w:rsidR="00CF6961">
        <w:rPr>
          <w:sz w:val="24"/>
          <w:szCs w:val="24"/>
          <w:lang w:val="en-GB"/>
        </w:rPr>
        <w:t xml:space="preserve"> </w:t>
      </w:r>
      <w:r w:rsidRPr="0072198E">
        <w:rPr>
          <w:sz w:val="24"/>
          <w:szCs w:val="24"/>
          <w:lang w:val="en-GB"/>
        </w:rPr>
        <w:t>implies both members having temporarily left the household and members having left for</w:t>
      </w:r>
      <w:r>
        <w:rPr>
          <w:sz w:val="24"/>
          <w:szCs w:val="24"/>
          <w:lang w:val="en-GB"/>
        </w:rPr>
        <w:t xml:space="preserve"> </w:t>
      </w:r>
      <w:r w:rsidRPr="0072198E">
        <w:rPr>
          <w:sz w:val="24"/>
          <w:szCs w:val="24"/>
          <w:lang w:val="en-GB"/>
        </w:rPr>
        <w:t xml:space="preserve">more than one </w:t>
      </w:r>
      <w:r w:rsidR="002579F6">
        <w:rPr>
          <w:sz w:val="24"/>
          <w:szCs w:val="24"/>
          <w:lang w:val="en-GB"/>
        </w:rPr>
        <w:t>year.</w:t>
      </w:r>
      <w:r>
        <w:rPr>
          <w:sz w:val="24"/>
          <w:szCs w:val="24"/>
          <w:lang w:val="en-GB"/>
        </w:rPr>
        <w:t xml:space="preserve"> </w:t>
      </w:r>
    </w:p>
    <w:p w:rsidR="009B5AB2" w:rsidRDefault="009B5AB2" w:rsidP="009B5AB2">
      <w:pPr>
        <w:jc w:val="both"/>
        <w:rPr>
          <w:sz w:val="24"/>
          <w:szCs w:val="24"/>
        </w:rPr>
      </w:pPr>
      <w:r>
        <w:rPr>
          <w:sz w:val="24"/>
          <w:szCs w:val="24"/>
          <w:lang w:val="en-GB"/>
        </w:rPr>
        <w:t xml:space="preserve">This </w:t>
      </w:r>
      <w:r w:rsidRPr="00A060D2">
        <w:rPr>
          <w:sz w:val="24"/>
          <w:szCs w:val="24"/>
          <w:lang w:val="en-GB"/>
        </w:rPr>
        <w:t xml:space="preserve">block of questions in the </w:t>
      </w:r>
      <w:r w:rsidR="0057764F">
        <w:rPr>
          <w:sz w:val="24"/>
          <w:szCs w:val="24"/>
          <w:lang w:val="en-GB"/>
        </w:rPr>
        <w:t>HIES</w:t>
      </w:r>
      <w:r w:rsidR="0057764F" w:rsidRPr="00A060D2">
        <w:rPr>
          <w:sz w:val="24"/>
          <w:szCs w:val="24"/>
          <w:lang w:val="en-GB"/>
        </w:rPr>
        <w:t xml:space="preserve"> </w:t>
      </w:r>
      <w:r w:rsidRPr="00A060D2">
        <w:rPr>
          <w:sz w:val="24"/>
          <w:szCs w:val="24"/>
          <w:lang w:val="en-GB"/>
        </w:rPr>
        <w:t xml:space="preserve">questionnaire </w:t>
      </w:r>
      <w:r w:rsidRPr="00F42FE6">
        <w:rPr>
          <w:sz w:val="24"/>
          <w:szCs w:val="24"/>
          <w:lang w:val="en-GB"/>
        </w:rPr>
        <w:t xml:space="preserve">also </w:t>
      </w:r>
      <w:r>
        <w:rPr>
          <w:sz w:val="24"/>
          <w:szCs w:val="24"/>
          <w:lang w:val="en-GB"/>
        </w:rPr>
        <w:t xml:space="preserve">includes </w:t>
      </w:r>
      <w:r w:rsidRPr="00F42FE6">
        <w:rPr>
          <w:sz w:val="24"/>
          <w:szCs w:val="24"/>
          <w:lang w:val="en-GB"/>
        </w:rPr>
        <w:t>whether the</w:t>
      </w:r>
      <w:r>
        <w:rPr>
          <w:sz w:val="24"/>
          <w:szCs w:val="24"/>
          <w:lang w:val="en-GB"/>
        </w:rPr>
        <w:t xml:space="preserve"> person </w:t>
      </w:r>
      <w:r w:rsidRPr="00F42FE6">
        <w:rPr>
          <w:sz w:val="24"/>
          <w:szCs w:val="24"/>
          <w:lang w:val="en-GB"/>
        </w:rPr>
        <w:t>support</w:t>
      </w:r>
      <w:r>
        <w:rPr>
          <w:sz w:val="24"/>
          <w:szCs w:val="24"/>
          <w:lang w:val="en-GB"/>
        </w:rPr>
        <w:t>s</w:t>
      </w:r>
      <w:r w:rsidRPr="00F42FE6">
        <w:rPr>
          <w:sz w:val="24"/>
          <w:szCs w:val="24"/>
          <w:lang w:val="en-GB"/>
        </w:rPr>
        <w:t xml:space="preserve"> the</w:t>
      </w:r>
      <w:r>
        <w:rPr>
          <w:sz w:val="24"/>
          <w:szCs w:val="24"/>
          <w:lang w:val="en-GB"/>
        </w:rPr>
        <w:t xml:space="preserve"> household </w:t>
      </w:r>
      <w:r w:rsidRPr="00F42FE6">
        <w:rPr>
          <w:sz w:val="24"/>
          <w:szCs w:val="24"/>
          <w:lang w:val="en-GB"/>
        </w:rPr>
        <w:t xml:space="preserve">financially </w:t>
      </w:r>
      <w:r>
        <w:rPr>
          <w:sz w:val="24"/>
          <w:szCs w:val="24"/>
          <w:lang w:val="en-GB"/>
        </w:rPr>
        <w:t xml:space="preserve">(material help) </w:t>
      </w:r>
      <w:r w:rsidRPr="00F42FE6">
        <w:rPr>
          <w:sz w:val="24"/>
          <w:szCs w:val="24"/>
          <w:lang w:val="en-GB"/>
        </w:rPr>
        <w:t>or the other way round</w:t>
      </w:r>
      <w:r>
        <w:rPr>
          <w:sz w:val="24"/>
          <w:szCs w:val="24"/>
          <w:lang w:val="en-GB"/>
        </w:rPr>
        <w:t xml:space="preserve">, </w:t>
      </w:r>
      <w:r w:rsidRPr="00F42FE6">
        <w:rPr>
          <w:sz w:val="24"/>
          <w:szCs w:val="24"/>
          <w:lang w:val="en-GB"/>
        </w:rPr>
        <w:t xml:space="preserve">whether </w:t>
      </w:r>
      <w:r>
        <w:rPr>
          <w:sz w:val="24"/>
          <w:szCs w:val="24"/>
          <w:lang w:val="en-GB"/>
        </w:rPr>
        <w:t>t</w:t>
      </w:r>
      <w:r w:rsidRPr="00F42FE6">
        <w:rPr>
          <w:sz w:val="24"/>
          <w:szCs w:val="24"/>
          <w:lang w:val="en-GB"/>
        </w:rPr>
        <w:t>he</w:t>
      </w:r>
      <w:r>
        <w:rPr>
          <w:sz w:val="24"/>
          <w:szCs w:val="24"/>
          <w:lang w:val="en-GB"/>
        </w:rPr>
        <w:t xml:space="preserve">y </w:t>
      </w:r>
      <w:r w:rsidRPr="00F42FE6">
        <w:rPr>
          <w:sz w:val="24"/>
          <w:szCs w:val="24"/>
          <w:lang w:val="en-GB"/>
        </w:rPr>
        <w:t>support</w:t>
      </w:r>
      <w:r>
        <w:rPr>
          <w:sz w:val="24"/>
          <w:szCs w:val="24"/>
          <w:lang w:val="en-GB"/>
        </w:rPr>
        <w:t xml:space="preserve"> him/her. This, b</w:t>
      </w:r>
      <w:r w:rsidRPr="00A060D2">
        <w:rPr>
          <w:sz w:val="24"/>
          <w:szCs w:val="24"/>
          <w:lang w:val="en-GB"/>
        </w:rPr>
        <w:t>y the EU-SILC definition</w:t>
      </w:r>
      <w:r>
        <w:rPr>
          <w:sz w:val="24"/>
          <w:szCs w:val="24"/>
          <w:lang w:val="en-GB"/>
        </w:rPr>
        <w:t>, would fall under</w:t>
      </w:r>
      <w:r w:rsidRPr="00A060D2">
        <w:rPr>
          <w:sz w:val="24"/>
          <w:szCs w:val="24"/>
          <w:lang w:val="en-GB"/>
        </w:rPr>
        <w:t xml:space="preserve"> the regular cash transfers between households </w:t>
      </w:r>
      <w:r>
        <w:rPr>
          <w:sz w:val="24"/>
          <w:szCs w:val="24"/>
          <w:lang w:val="en-GB"/>
        </w:rPr>
        <w:t xml:space="preserve">and thus be </w:t>
      </w:r>
      <w:r w:rsidRPr="00A060D2">
        <w:rPr>
          <w:sz w:val="24"/>
          <w:szCs w:val="24"/>
          <w:lang w:val="en-GB"/>
        </w:rPr>
        <w:t>belong</w:t>
      </w:r>
      <w:r>
        <w:rPr>
          <w:sz w:val="24"/>
          <w:szCs w:val="24"/>
          <w:lang w:val="en-GB"/>
        </w:rPr>
        <w:t>ing</w:t>
      </w:r>
      <w:r w:rsidRPr="00A060D2">
        <w:rPr>
          <w:sz w:val="24"/>
          <w:szCs w:val="24"/>
          <w:lang w:val="en-GB"/>
        </w:rPr>
        <w:t xml:space="preserve"> to the income components for the calculation of total household </w:t>
      </w:r>
      <w:r>
        <w:rPr>
          <w:sz w:val="24"/>
          <w:szCs w:val="24"/>
          <w:lang w:val="en-GB"/>
        </w:rPr>
        <w:t xml:space="preserve">disposable </w:t>
      </w:r>
      <w:r w:rsidRPr="00A060D2">
        <w:rPr>
          <w:sz w:val="24"/>
          <w:szCs w:val="24"/>
          <w:lang w:val="en-GB"/>
        </w:rPr>
        <w:t>income</w:t>
      </w:r>
      <w:r>
        <w:rPr>
          <w:sz w:val="24"/>
          <w:szCs w:val="24"/>
          <w:lang w:val="en-GB"/>
        </w:rPr>
        <w:t xml:space="preserve"> in the EU-SILC concept</w:t>
      </w:r>
      <w:r w:rsidRPr="00A060D2">
        <w:rPr>
          <w:sz w:val="24"/>
          <w:szCs w:val="24"/>
          <w:lang w:val="en-GB"/>
        </w:rPr>
        <w:t>.</w:t>
      </w:r>
    </w:p>
    <w:p w:rsidR="001A533E" w:rsidRPr="009B5AB2" w:rsidRDefault="009B5AB2" w:rsidP="0072198E">
      <w:pPr>
        <w:jc w:val="both"/>
        <w:rPr>
          <w:i/>
          <w:sz w:val="24"/>
          <w:szCs w:val="24"/>
          <w:lang w:val="en-GB"/>
        </w:rPr>
      </w:pPr>
      <w:r w:rsidRPr="00880AAF">
        <w:rPr>
          <w:i/>
          <w:sz w:val="24"/>
          <w:szCs w:val="24"/>
          <w:lang w:val="en-GB"/>
        </w:rPr>
        <w:lastRenderedPageBreak/>
        <w:t>Related issue to be discussed and further assessed:</w:t>
      </w:r>
      <w:r>
        <w:rPr>
          <w:i/>
          <w:sz w:val="24"/>
          <w:szCs w:val="24"/>
          <w:lang w:val="en-GB"/>
        </w:rPr>
        <w:t xml:space="preserve"> n</w:t>
      </w:r>
      <w:r w:rsidR="001A533E" w:rsidRPr="009B5AB2">
        <w:rPr>
          <w:i/>
          <w:sz w:val="24"/>
          <w:szCs w:val="24"/>
          <w:lang w:val="en-GB"/>
        </w:rPr>
        <w:t>eed</w:t>
      </w:r>
      <w:r w:rsidRPr="009B5AB2">
        <w:rPr>
          <w:i/>
          <w:sz w:val="24"/>
          <w:szCs w:val="24"/>
          <w:lang w:val="en-GB"/>
        </w:rPr>
        <w:t>s</w:t>
      </w:r>
      <w:r w:rsidR="001A533E" w:rsidRPr="009B5AB2">
        <w:rPr>
          <w:i/>
          <w:sz w:val="24"/>
          <w:szCs w:val="24"/>
          <w:lang w:val="en-GB"/>
        </w:rPr>
        <w:t xml:space="preserve"> to be clarified </w:t>
      </w:r>
      <w:r w:rsidRPr="009B5AB2">
        <w:rPr>
          <w:i/>
          <w:sz w:val="24"/>
          <w:szCs w:val="24"/>
          <w:lang w:val="en-GB"/>
        </w:rPr>
        <w:t>with respect to the household membership (persons temporary away but still under the definition of current household members) and with respect to the items of alimonies and funding from a donor.</w:t>
      </w:r>
    </w:p>
    <w:p w:rsidR="001374A8" w:rsidRDefault="001374A8" w:rsidP="001374A8">
      <w:pPr>
        <w:pStyle w:val="Undertitel"/>
        <w:rPr>
          <w:lang w:val="en-GB"/>
        </w:rPr>
      </w:pPr>
      <w:r w:rsidRPr="00831E66">
        <w:rPr>
          <w:lang w:val="en-GB"/>
        </w:rPr>
        <w:t>Part II</w:t>
      </w:r>
      <w:r>
        <w:rPr>
          <w:lang w:val="en-GB"/>
        </w:rPr>
        <w:t xml:space="preserve"> – 5. </w:t>
      </w:r>
      <w:r w:rsidRPr="001374A8">
        <w:rPr>
          <w:lang w:val="en-GB"/>
        </w:rPr>
        <w:t>Income and expenditure in foreign currency</w:t>
      </w:r>
    </w:p>
    <w:p w:rsidR="00C77487" w:rsidRDefault="00885A08" w:rsidP="00C77487">
      <w:pPr>
        <w:spacing w:after="0"/>
        <w:jc w:val="both"/>
        <w:rPr>
          <w:sz w:val="24"/>
          <w:szCs w:val="24"/>
          <w:lang w:val="en-GB"/>
        </w:rPr>
      </w:pPr>
      <w:r>
        <w:rPr>
          <w:sz w:val="24"/>
          <w:szCs w:val="24"/>
          <w:lang w:val="en-GB"/>
        </w:rPr>
        <w:t>The respondents are asked to indicate a</w:t>
      </w:r>
      <w:r w:rsidR="000D7277" w:rsidRPr="000D7277">
        <w:rPr>
          <w:sz w:val="24"/>
          <w:szCs w:val="24"/>
          <w:lang w:val="en-GB"/>
        </w:rPr>
        <w:t xml:space="preserve">ny </w:t>
      </w:r>
      <w:r>
        <w:rPr>
          <w:sz w:val="24"/>
          <w:szCs w:val="24"/>
          <w:lang w:val="en-GB"/>
        </w:rPr>
        <w:t xml:space="preserve">income received in a </w:t>
      </w:r>
      <w:r w:rsidR="000D7277" w:rsidRPr="000D7277">
        <w:rPr>
          <w:sz w:val="24"/>
          <w:szCs w:val="24"/>
          <w:lang w:val="en-GB"/>
        </w:rPr>
        <w:t>foreign currency</w:t>
      </w:r>
      <w:r>
        <w:rPr>
          <w:sz w:val="24"/>
          <w:szCs w:val="24"/>
          <w:lang w:val="en-GB"/>
        </w:rPr>
        <w:t>, which might be f</w:t>
      </w:r>
      <w:r w:rsidR="00CA4822" w:rsidRPr="00CA4822">
        <w:rPr>
          <w:sz w:val="24"/>
          <w:szCs w:val="24"/>
          <w:lang w:val="en-GB"/>
        </w:rPr>
        <w:t>r</w:t>
      </w:r>
      <w:r w:rsidR="00CA4822">
        <w:rPr>
          <w:sz w:val="24"/>
          <w:szCs w:val="24"/>
          <w:lang w:val="en-GB"/>
        </w:rPr>
        <w:t>o</w:t>
      </w:r>
      <w:r w:rsidR="00CA4822" w:rsidRPr="00CA4822">
        <w:rPr>
          <w:sz w:val="24"/>
          <w:szCs w:val="24"/>
          <w:lang w:val="en-GB"/>
        </w:rPr>
        <w:t xml:space="preserve">m employment, </w:t>
      </w:r>
      <w:r w:rsidR="00CA4822">
        <w:rPr>
          <w:sz w:val="24"/>
          <w:szCs w:val="24"/>
          <w:lang w:val="en-GB"/>
        </w:rPr>
        <w:t xml:space="preserve">state </w:t>
      </w:r>
      <w:r w:rsidR="00CA4822" w:rsidRPr="00CA4822">
        <w:rPr>
          <w:sz w:val="24"/>
          <w:szCs w:val="24"/>
          <w:lang w:val="en-GB"/>
        </w:rPr>
        <w:t>allowance</w:t>
      </w:r>
      <w:r w:rsidR="00CA4822">
        <w:rPr>
          <w:sz w:val="24"/>
          <w:szCs w:val="24"/>
          <w:lang w:val="en-GB"/>
        </w:rPr>
        <w:t>s</w:t>
      </w:r>
      <w:r w:rsidR="00CA4822" w:rsidRPr="00CA4822">
        <w:rPr>
          <w:sz w:val="24"/>
          <w:szCs w:val="24"/>
          <w:lang w:val="en-GB"/>
        </w:rPr>
        <w:t>,</w:t>
      </w:r>
      <w:r w:rsidR="00CA4822">
        <w:rPr>
          <w:sz w:val="24"/>
          <w:szCs w:val="24"/>
          <w:lang w:val="en-GB"/>
        </w:rPr>
        <w:t xml:space="preserve"> </w:t>
      </w:r>
      <w:r w:rsidR="00CA4822" w:rsidRPr="00CA4822">
        <w:rPr>
          <w:sz w:val="24"/>
          <w:szCs w:val="24"/>
          <w:lang w:val="en-GB"/>
        </w:rPr>
        <w:t>monetary gift connect</w:t>
      </w:r>
      <w:r w:rsidR="00CA4822">
        <w:rPr>
          <w:sz w:val="24"/>
          <w:szCs w:val="24"/>
          <w:lang w:val="en-GB"/>
        </w:rPr>
        <w:t>ed</w:t>
      </w:r>
      <w:r w:rsidR="00CA4822" w:rsidRPr="00CA4822">
        <w:rPr>
          <w:sz w:val="24"/>
          <w:szCs w:val="24"/>
          <w:lang w:val="en-GB"/>
        </w:rPr>
        <w:t xml:space="preserve"> with wedding, </w:t>
      </w:r>
      <w:r w:rsidR="00CA4822">
        <w:rPr>
          <w:sz w:val="24"/>
          <w:szCs w:val="24"/>
          <w:lang w:val="en-GB"/>
        </w:rPr>
        <w:t>child</w:t>
      </w:r>
      <w:r w:rsidR="00CA4822" w:rsidRPr="00CA4822">
        <w:rPr>
          <w:sz w:val="24"/>
          <w:szCs w:val="24"/>
          <w:lang w:val="en-GB"/>
        </w:rPr>
        <w:t>birth</w:t>
      </w:r>
      <w:r w:rsidR="00CA4822">
        <w:rPr>
          <w:sz w:val="24"/>
          <w:szCs w:val="24"/>
          <w:lang w:val="en-GB"/>
        </w:rPr>
        <w:t xml:space="preserve"> or</w:t>
      </w:r>
      <w:r w:rsidR="00CF6961">
        <w:rPr>
          <w:sz w:val="24"/>
          <w:szCs w:val="24"/>
          <w:lang w:val="en-GB"/>
        </w:rPr>
        <w:t> </w:t>
      </w:r>
      <w:r w:rsidR="00CA4822" w:rsidRPr="00CA4822">
        <w:rPr>
          <w:sz w:val="24"/>
          <w:szCs w:val="24"/>
          <w:lang w:val="en-GB"/>
        </w:rPr>
        <w:t>Christma</w:t>
      </w:r>
      <w:r w:rsidR="00CA4822">
        <w:rPr>
          <w:sz w:val="24"/>
          <w:szCs w:val="24"/>
          <w:lang w:val="en-GB"/>
        </w:rPr>
        <w:t xml:space="preserve">s, </w:t>
      </w:r>
      <w:r w:rsidR="00CA4822" w:rsidRPr="00CA4822">
        <w:rPr>
          <w:sz w:val="24"/>
          <w:szCs w:val="24"/>
          <w:lang w:val="en-GB"/>
        </w:rPr>
        <w:t xml:space="preserve">winning the lottery, betting, </w:t>
      </w:r>
      <w:r w:rsidR="00CA4822">
        <w:rPr>
          <w:sz w:val="24"/>
          <w:szCs w:val="24"/>
          <w:lang w:val="en-GB"/>
        </w:rPr>
        <w:t xml:space="preserve">casino, </w:t>
      </w:r>
      <w:r w:rsidR="00CA4822" w:rsidRPr="00CA4822">
        <w:rPr>
          <w:sz w:val="24"/>
          <w:szCs w:val="24"/>
          <w:lang w:val="en-GB"/>
        </w:rPr>
        <w:t>profit from business</w:t>
      </w:r>
      <w:r w:rsidR="00C77487">
        <w:rPr>
          <w:sz w:val="24"/>
          <w:szCs w:val="24"/>
          <w:lang w:val="en-GB"/>
        </w:rPr>
        <w:t xml:space="preserve"> etc. </w:t>
      </w:r>
      <w:r w:rsidR="001F5F5C">
        <w:rPr>
          <w:sz w:val="24"/>
          <w:szCs w:val="24"/>
          <w:lang w:val="en-GB"/>
        </w:rPr>
        <w:t>The EU-SILC methodology does not explicitly deal with income in foreign currency (as a separate item), leaving its eventual separate collection to the data collection practice in individual countries.</w:t>
      </w:r>
      <w:r w:rsidR="000D7277">
        <w:rPr>
          <w:sz w:val="24"/>
          <w:szCs w:val="24"/>
          <w:lang w:val="en-GB"/>
        </w:rPr>
        <w:t xml:space="preserve"> </w:t>
      </w:r>
      <w:r w:rsidR="001F5F5C">
        <w:rPr>
          <w:sz w:val="24"/>
          <w:szCs w:val="24"/>
          <w:lang w:val="en-GB"/>
        </w:rPr>
        <w:t xml:space="preserve">In cases </w:t>
      </w:r>
      <w:r>
        <w:rPr>
          <w:sz w:val="24"/>
          <w:szCs w:val="24"/>
          <w:lang w:val="en-GB"/>
        </w:rPr>
        <w:t>when a</w:t>
      </w:r>
      <w:r w:rsidR="00D35DE1">
        <w:rPr>
          <w:sz w:val="24"/>
          <w:szCs w:val="24"/>
          <w:lang w:val="en-GB"/>
        </w:rPr>
        <w:t xml:space="preserve"> person from the selected household gets a salary</w:t>
      </w:r>
      <w:r w:rsidR="001F5F5C">
        <w:rPr>
          <w:sz w:val="24"/>
          <w:szCs w:val="24"/>
          <w:lang w:val="en-GB"/>
        </w:rPr>
        <w:t xml:space="preserve">, </w:t>
      </w:r>
      <w:r w:rsidR="000D7277" w:rsidRPr="000D7277">
        <w:rPr>
          <w:sz w:val="24"/>
          <w:szCs w:val="24"/>
          <w:lang w:val="en-GB"/>
        </w:rPr>
        <w:t>pensions</w:t>
      </w:r>
      <w:r w:rsidR="001F5F5C">
        <w:rPr>
          <w:sz w:val="24"/>
          <w:szCs w:val="24"/>
          <w:lang w:val="en-GB"/>
        </w:rPr>
        <w:t xml:space="preserve">, </w:t>
      </w:r>
      <w:r w:rsidR="000D7277" w:rsidRPr="000D7277">
        <w:rPr>
          <w:sz w:val="24"/>
          <w:szCs w:val="24"/>
          <w:lang w:val="en-GB"/>
        </w:rPr>
        <w:t xml:space="preserve">parental allowances </w:t>
      </w:r>
      <w:r w:rsidR="001F5F5C">
        <w:rPr>
          <w:sz w:val="24"/>
          <w:szCs w:val="24"/>
          <w:lang w:val="en-GB"/>
        </w:rPr>
        <w:t xml:space="preserve">or other kind of income </w:t>
      </w:r>
      <w:r w:rsidR="000D7277" w:rsidRPr="000D7277">
        <w:rPr>
          <w:sz w:val="24"/>
          <w:szCs w:val="24"/>
          <w:lang w:val="en-GB"/>
        </w:rPr>
        <w:t xml:space="preserve">from abroad, </w:t>
      </w:r>
      <w:r w:rsidR="00D35DE1">
        <w:rPr>
          <w:sz w:val="24"/>
          <w:szCs w:val="24"/>
          <w:lang w:val="en-GB"/>
        </w:rPr>
        <w:t xml:space="preserve">the </w:t>
      </w:r>
      <w:r w:rsidR="00DC76BF">
        <w:rPr>
          <w:sz w:val="24"/>
          <w:szCs w:val="24"/>
          <w:lang w:val="en-GB"/>
        </w:rPr>
        <w:t xml:space="preserve">currency conversion is left to the national practice (conversion by the respondent / during the interview, collection of amounts in typical foreign currencies and conversion during the data processing stage). </w:t>
      </w:r>
    </w:p>
    <w:p w:rsidR="00DC76BF" w:rsidRDefault="00DC76BF" w:rsidP="00C77487">
      <w:pPr>
        <w:spacing w:after="0"/>
        <w:jc w:val="both"/>
        <w:rPr>
          <w:sz w:val="24"/>
          <w:szCs w:val="24"/>
          <w:lang w:val="en-GB"/>
        </w:rPr>
      </w:pPr>
      <w:r>
        <w:rPr>
          <w:sz w:val="24"/>
          <w:szCs w:val="24"/>
          <w:lang w:val="en-GB"/>
        </w:rPr>
        <w:t>Incomes received from abroad (or sent abroad) are generally of a specific interest to the national accounts (although EU-SILC is not the typical source for that purpose).</w:t>
      </w:r>
    </w:p>
    <w:p w:rsidR="00DC76BF" w:rsidRDefault="00DC76BF" w:rsidP="00C77487">
      <w:pPr>
        <w:spacing w:after="0"/>
        <w:jc w:val="both"/>
        <w:rPr>
          <w:i/>
          <w:sz w:val="24"/>
          <w:szCs w:val="24"/>
          <w:lang w:val="en-GB"/>
        </w:rPr>
      </w:pPr>
    </w:p>
    <w:p w:rsidR="00DC76BF" w:rsidRDefault="00DC76BF" w:rsidP="00DC76BF">
      <w:pPr>
        <w:spacing w:after="0"/>
        <w:jc w:val="both"/>
        <w:rPr>
          <w:lang w:val="en-GB"/>
        </w:rPr>
      </w:pPr>
      <w:r w:rsidRPr="00880AAF">
        <w:rPr>
          <w:i/>
          <w:sz w:val="24"/>
          <w:szCs w:val="24"/>
          <w:lang w:val="en-GB"/>
        </w:rPr>
        <w:t>Related issue to be discussed and further assessed:</w:t>
      </w:r>
      <w:r>
        <w:rPr>
          <w:i/>
          <w:sz w:val="24"/>
          <w:szCs w:val="24"/>
          <w:lang w:val="en-GB"/>
        </w:rPr>
        <w:t xml:space="preserve"> similar to the discussion previously on the corresponding items and income components collected in GEL – with respect to their inclusion/ non-inclusion </w:t>
      </w:r>
      <w:r w:rsidR="00CF6961">
        <w:rPr>
          <w:i/>
          <w:sz w:val="24"/>
          <w:szCs w:val="24"/>
          <w:lang w:val="en-GB"/>
        </w:rPr>
        <w:t xml:space="preserve">into </w:t>
      </w:r>
      <w:r>
        <w:rPr>
          <w:i/>
          <w:sz w:val="24"/>
          <w:szCs w:val="24"/>
          <w:lang w:val="en-GB"/>
        </w:rPr>
        <w:t>the total income for calculation of the EU income based indicators.</w:t>
      </w:r>
    </w:p>
    <w:p w:rsidR="0073480B" w:rsidRDefault="0073480B" w:rsidP="00721E52">
      <w:pPr>
        <w:spacing w:after="0"/>
        <w:rPr>
          <w:b/>
          <w:sz w:val="25"/>
          <w:szCs w:val="25"/>
          <w:lang w:val="en-GB"/>
        </w:rPr>
      </w:pPr>
    </w:p>
    <w:p w:rsidR="001374A8" w:rsidRPr="00DC76BF" w:rsidRDefault="001374A8" w:rsidP="00DC76BF">
      <w:pPr>
        <w:pStyle w:val="Undertitel"/>
        <w:rPr>
          <w:lang w:val="en-GB"/>
        </w:rPr>
      </w:pPr>
      <w:r w:rsidRPr="00DC76BF">
        <w:rPr>
          <w:lang w:val="en-GB"/>
        </w:rPr>
        <w:t>Shinda 05-1 –</w:t>
      </w:r>
      <w:r w:rsidR="00DC76BF">
        <w:rPr>
          <w:lang w:val="en-GB"/>
        </w:rPr>
        <w:t xml:space="preserve"> </w:t>
      </w:r>
      <w:r w:rsidRPr="00DC76BF">
        <w:rPr>
          <w:lang w:val="en-GB"/>
        </w:rPr>
        <w:t>Income and Employment Questionnaire</w:t>
      </w:r>
      <w:r w:rsidR="00DC76BF">
        <w:rPr>
          <w:lang w:val="en-GB"/>
        </w:rPr>
        <w:t xml:space="preserve">, </w:t>
      </w:r>
      <w:r w:rsidRPr="00DC76BF">
        <w:rPr>
          <w:lang w:val="en-GB"/>
        </w:rPr>
        <w:t>for all household members aged</w:t>
      </w:r>
      <w:r w:rsidR="000B40E5" w:rsidRPr="00DC76BF">
        <w:rPr>
          <w:lang w:val="en-GB"/>
        </w:rPr>
        <w:t xml:space="preserve"> </w:t>
      </w:r>
      <w:r w:rsidRPr="00DC76BF">
        <w:rPr>
          <w:lang w:val="en-GB"/>
        </w:rPr>
        <w:t>15+</w:t>
      </w:r>
    </w:p>
    <w:p w:rsidR="000B40E5" w:rsidRPr="002645E7" w:rsidRDefault="00D35DE1" w:rsidP="002645E7">
      <w:pPr>
        <w:jc w:val="both"/>
        <w:rPr>
          <w:sz w:val="24"/>
          <w:szCs w:val="24"/>
          <w:lang w:val="en-GB"/>
        </w:rPr>
      </w:pPr>
      <w:r>
        <w:rPr>
          <w:sz w:val="24"/>
          <w:szCs w:val="24"/>
          <w:lang w:val="en-GB"/>
        </w:rPr>
        <w:t>This is very i</w:t>
      </w:r>
      <w:r w:rsidR="000B40E5" w:rsidRPr="002645E7">
        <w:rPr>
          <w:sz w:val="24"/>
          <w:szCs w:val="24"/>
          <w:lang w:val="en-GB"/>
        </w:rPr>
        <w:t>mportant questionnaire on work activity and income from employment.</w:t>
      </w:r>
    </w:p>
    <w:p w:rsidR="00487115" w:rsidRPr="002645E7" w:rsidRDefault="00B320D2" w:rsidP="00487115">
      <w:pPr>
        <w:jc w:val="both"/>
        <w:rPr>
          <w:sz w:val="24"/>
          <w:szCs w:val="24"/>
          <w:lang w:val="en-GB"/>
        </w:rPr>
      </w:pPr>
      <w:r w:rsidRPr="002645E7">
        <w:rPr>
          <w:sz w:val="24"/>
          <w:szCs w:val="24"/>
          <w:lang w:val="en-GB"/>
        </w:rPr>
        <w:t xml:space="preserve">Shinda 05-1 has to be completed regardless the person is no longer a member of the sampled household by the time of the interview. </w:t>
      </w:r>
      <w:r w:rsidR="00487115">
        <w:rPr>
          <w:sz w:val="24"/>
          <w:szCs w:val="24"/>
          <w:lang w:val="en-GB"/>
        </w:rPr>
        <w:t>In this case, it</w:t>
      </w:r>
      <w:r w:rsidR="00487115" w:rsidRPr="002645E7">
        <w:rPr>
          <w:sz w:val="24"/>
          <w:szCs w:val="24"/>
          <w:lang w:val="en-GB"/>
        </w:rPr>
        <w:t xml:space="preserve"> should be conducted with a member who has reliable information about economic activities and income of the past three months of the former member who left the household. </w:t>
      </w:r>
      <w:r w:rsidR="00487115">
        <w:rPr>
          <w:sz w:val="24"/>
          <w:szCs w:val="24"/>
          <w:lang w:val="en-GB"/>
        </w:rPr>
        <w:t>This issue is related to the issue of household membership vs. income reference period in the previous chapter.</w:t>
      </w:r>
    </w:p>
    <w:p w:rsidR="00487115" w:rsidRDefault="00487115" w:rsidP="00487115">
      <w:pPr>
        <w:jc w:val="both"/>
        <w:rPr>
          <w:sz w:val="24"/>
          <w:szCs w:val="24"/>
          <w:lang w:val="en-GB"/>
        </w:rPr>
      </w:pPr>
      <w:r w:rsidRPr="002645E7">
        <w:rPr>
          <w:sz w:val="24"/>
          <w:szCs w:val="24"/>
          <w:lang w:val="en-GB"/>
        </w:rPr>
        <w:t xml:space="preserve">The questionnaire then includes </w:t>
      </w:r>
      <w:r>
        <w:rPr>
          <w:sz w:val="24"/>
          <w:szCs w:val="24"/>
          <w:lang w:val="en-GB"/>
        </w:rPr>
        <w:t>components of personal employment and self-employment income –</w:t>
      </w:r>
      <w:r w:rsidRPr="00254810">
        <w:rPr>
          <w:spacing w:val="-20"/>
          <w:sz w:val="24"/>
          <w:szCs w:val="24"/>
          <w:lang w:val="en-GB"/>
        </w:rPr>
        <w:t xml:space="preserve"> </w:t>
      </w:r>
      <w:r>
        <w:rPr>
          <w:sz w:val="24"/>
          <w:szCs w:val="24"/>
          <w:lang w:val="en-GB"/>
        </w:rPr>
        <w:t>s</w:t>
      </w:r>
      <w:r w:rsidRPr="00254810">
        <w:rPr>
          <w:sz w:val="24"/>
          <w:szCs w:val="24"/>
          <w:lang w:val="en-GB"/>
        </w:rPr>
        <w:t>alary</w:t>
      </w:r>
      <w:r>
        <w:rPr>
          <w:sz w:val="24"/>
          <w:szCs w:val="24"/>
          <w:lang w:val="en-GB"/>
        </w:rPr>
        <w:t>, wage, p</w:t>
      </w:r>
      <w:r w:rsidRPr="00254810">
        <w:rPr>
          <w:sz w:val="24"/>
          <w:szCs w:val="24"/>
          <w:lang w:val="en-GB"/>
        </w:rPr>
        <w:t>rofit from self</w:t>
      </w:r>
      <w:r>
        <w:rPr>
          <w:sz w:val="24"/>
          <w:szCs w:val="24"/>
          <w:lang w:val="en-GB"/>
        </w:rPr>
        <w:t>-</w:t>
      </w:r>
      <w:r w:rsidRPr="00254810">
        <w:rPr>
          <w:sz w:val="24"/>
          <w:szCs w:val="24"/>
          <w:lang w:val="en-GB"/>
        </w:rPr>
        <w:t>employment</w:t>
      </w:r>
      <w:r>
        <w:rPr>
          <w:sz w:val="24"/>
          <w:szCs w:val="24"/>
          <w:lang w:val="en-GB"/>
        </w:rPr>
        <w:t>. Also included and covered by a separate question are extra money (</w:t>
      </w:r>
      <w:r w:rsidRPr="00254810">
        <w:rPr>
          <w:sz w:val="24"/>
          <w:szCs w:val="24"/>
          <w:lang w:val="en-GB"/>
        </w:rPr>
        <w:t>bonus</w:t>
      </w:r>
      <w:r>
        <w:rPr>
          <w:sz w:val="24"/>
          <w:szCs w:val="24"/>
          <w:lang w:val="en-GB"/>
        </w:rPr>
        <w:t>es</w:t>
      </w:r>
      <w:r w:rsidRPr="00254810">
        <w:rPr>
          <w:sz w:val="24"/>
          <w:szCs w:val="24"/>
          <w:lang w:val="en-GB"/>
        </w:rPr>
        <w:t>, benefits</w:t>
      </w:r>
      <w:r>
        <w:rPr>
          <w:sz w:val="24"/>
          <w:szCs w:val="24"/>
          <w:lang w:val="en-GB"/>
        </w:rPr>
        <w:t>) and</w:t>
      </w:r>
      <w:r w:rsidRPr="00254810">
        <w:rPr>
          <w:sz w:val="24"/>
          <w:szCs w:val="24"/>
          <w:lang w:val="en-GB"/>
        </w:rPr>
        <w:t xml:space="preserve"> </w:t>
      </w:r>
      <w:r>
        <w:rPr>
          <w:sz w:val="24"/>
          <w:szCs w:val="24"/>
          <w:lang w:val="en-GB"/>
        </w:rPr>
        <w:t>r</w:t>
      </w:r>
      <w:r w:rsidRPr="00254810">
        <w:rPr>
          <w:sz w:val="24"/>
          <w:szCs w:val="24"/>
          <w:lang w:val="en-GB"/>
        </w:rPr>
        <w:t>e</w:t>
      </w:r>
      <w:r>
        <w:rPr>
          <w:sz w:val="24"/>
          <w:szCs w:val="24"/>
          <w:lang w:val="en-GB"/>
        </w:rPr>
        <w:t>mun</w:t>
      </w:r>
      <w:r w:rsidRPr="00254810">
        <w:rPr>
          <w:sz w:val="24"/>
          <w:szCs w:val="24"/>
          <w:lang w:val="en-GB"/>
        </w:rPr>
        <w:t>eration in kind</w:t>
      </w:r>
      <w:r>
        <w:rPr>
          <w:sz w:val="24"/>
          <w:szCs w:val="24"/>
          <w:lang w:val="en-GB"/>
        </w:rPr>
        <w:t>. Separately asked is also income from work</w:t>
      </w:r>
      <w:r w:rsidRPr="00254810">
        <w:rPr>
          <w:sz w:val="24"/>
          <w:szCs w:val="24"/>
          <w:lang w:val="en-GB"/>
        </w:rPr>
        <w:t xml:space="preserve"> abroad</w:t>
      </w:r>
      <w:r>
        <w:rPr>
          <w:sz w:val="24"/>
          <w:szCs w:val="24"/>
          <w:lang w:val="en-GB"/>
        </w:rPr>
        <w:t>.</w:t>
      </w:r>
      <w:r w:rsidRPr="00254810">
        <w:rPr>
          <w:sz w:val="24"/>
          <w:szCs w:val="24"/>
          <w:lang w:val="en-GB"/>
        </w:rPr>
        <w:t xml:space="preserve"> </w:t>
      </w:r>
    </w:p>
    <w:p w:rsidR="00487115" w:rsidRDefault="00487115" w:rsidP="00487115">
      <w:pPr>
        <w:jc w:val="both"/>
        <w:rPr>
          <w:sz w:val="24"/>
          <w:szCs w:val="24"/>
          <w:lang w:val="en-GB"/>
        </w:rPr>
      </w:pPr>
      <w:r>
        <w:rPr>
          <w:sz w:val="24"/>
          <w:szCs w:val="24"/>
          <w:lang w:val="en-GB"/>
        </w:rPr>
        <w:t xml:space="preserve">The inclusion of these income components in total disposable income for the EU income based indicators is </w:t>
      </w:r>
      <w:r w:rsidRPr="00FC7FEB">
        <w:rPr>
          <w:sz w:val="24"/>
          <w:szCs w:val="24"/>
          <w:lang w:val="en-GB"/>
        </w:rPr>
        <w:t>in compliance with the European definition</w:t>
      </w:r>
      <w:r>
        <w:rPr>
          <w:sz w:val="24"/>
          <w:szCs w:val="24"/>
          <w:lang w:val="en-GB"/>
        </w:rPr>
        <w:t>s</w:t>
      </w:r>
      <w:r w:rsidRPr="00FC7FEB">
        <w:rPr>
          <w:sz w:val="24"/>
          <w:szCs w:val="24"/>
          <w:lang w:val="en-GB"/>
        </w:rPr>
        <w:t xml:space="preserve"> of </w:t>
      </w:r>
      <w:r>
        <w:rPr>
          <w:sz w:val="24"/>
          <w:szCs w:val="24"/>
          <w:lang w:val="en-GB"/>
        </w:rPr>
        <w:t xml:space="preserve">income </w:t>
      </w:r>
      <w:r w:rsidRPr="00FC7FEB">
        <w:rPr>
          <w:sz w:val="24"/>
          <w:szCs w:val="24"/>
          <w:lang w:val="en-GB"/>
        </w:rPr>
        <w:t>indicators.</w:t>
      </w:r>
    </w:p>
    <w:p w:rsidR="00487115" w:rsidRPr="0007266E" w:rsidRDefault="00487115" w:rsidP="00487115">
      <w:pPr>
        <w:jc w:val="both"/>
        <w:rPr>
          <w:i/>
          <w:sz w:val="24"/>
          <w:szCs w:val="24"/>
          <w:lang w:val="en-GB"/>
        </w:rPr>
      </w:pPr>
      <w:r w:rsidRPr="00880AAF">
        <w:rPr>
          <w:i/>
          <w:sz w:val="24"/>
          <w:szCs w:val="24"/>
          <w:lang w:val="en-GB"/>
        </w:rPr>
        <w:t>Related issue</w:t>
      </w:r>
      <w:r>
        <w:rPr>
          <w:i/>
          <w:sz w:val="24"/>
          <w:szCs w:val="24"/>
          <w:lang w:val="en-GB"/>
        </w:rPr>
        <w:t>s</w:t>
      </w:r>
      <w:r w:rsidRPr="00880AAF">
        <w:rPr>
          <w:i/>
          <w:sz w:val="24"/>
          <w:szCs w:val="24"/>
          <w:lang w:val="en-GB"/>
        </w:rPr>
        <w:t xml:space="preserve"> to be discussed and further assessed:</w:t>
      </w:r>
      <w:r>
        <w:rPr>
          <w:i/>
          <w:sz w:val="24"/>
          <w:szCs w:val="24"/>
          <w:lang w:val="en-GB"/>
        </w:rPr>
        <w:t xml:space="preserve"> coverage of the fringe benefits / income in</w:t>
      </w:r>
      <w:r w:rsidRPr="00487115">
        <w:rPr>
          <w:i/>
          <w:spacing w:val="-20"/>
          <w:sz w:val="24"/>
          <w:szCs w:val="24"/>
          <w:lang w:val="en-GB"/>
        </w:rPr>
        <w:t xml:space="preserve"> </w:t>
      </w:r>
      <w:r>
        <w:rPr>
          <w:i/>
          <w:sz w:val="24"/>
          <w:szCs w:val="24"/>
          <w:lang w:val="en-GB"/>
        </w:rPr>
        <w:t>kind in</w:t>
      </w:r>
      <w:r w:rsidRPr="00487115">
        <w:rPr>
          <w:i/>
          <w:spacing w:val="-20"/>
          <w:sz w:val="24"/>
          <w:szCs w:val="24"/>
          <w:lang w:val="en-GB"/>
        </w:rPr>
        <w:t xml:space="preserve"> </w:t>
      </w:r>
      <w:r>
        <w:rPr>
          <w:i/>
          <w:sz w:val="24"/>
          <w:szCs w:val="24"/>
          <w:lang w:val="en-GB"/>
        </w:rPr>
        <w:t>income aggregates (cash</w:t>
      </w:r>
      <w:r w:rsidRPr="00487115">
        <w:rPr>
          <w:i/>
          <w:spacing w:val="-20"/>
          <w:sz w:val="24"/>
          <w:szCs w:val="24"/>
          <w:lang w:val="en-GB"/>
        </w:rPr>
        <w:t xml:space="preserve"> </w:t>
      </w:r>
      <w:r>
        <w:rPr>
          <w:i/>
          <w:sz w:val="24"/>
          <w:szCs w:val="24"/>
          <w:lang w:val="en-GB"/>
        </w:rPr>
        <w:t xml:space="preserve">and non-cash income). Income in kind from self-employment activities vs. goods produced for own consumption </w:t>
      </w:r>
      <w:r w:rsidR="00A906E5" w:rsidRPr="0007266E">
        <w:rPr>
          <w:i/>
          <w:sz w:val="24"/>
          <w:szCs w:val="24"/>
          <w:lang w:val="en-GB"/>
        </w:rPr>
        <w:t xml:space="preserve">from own </w:t>
      </w:r>
      <w:r w:rsidRPr="0007266E">
        <w:rPr>
          <w:i/>
          <w:sz w:val="24"/>
          <w:szCs w:val="24"/>
          <w:lang w:val="en-GB"/>
        </w:rPr>
        <w:t>agricultural activit</w:t>
      </w:r>
      <w:r w:rsidR="00A906E5" w:rsidRPr="0007266E">
        <w:rPr>
          <w:i/>
          <w:sz w:val="24"/>
          <w:szCs w:val="24"/>
          <w:lang w:val="en-GB"/>
        </w:rPr>
        <w:t xml:space="preserve">ies/farming </w:t>
      </w:r>
      <w:r>
        <w:rPr>
          <w:i/>
          <w:sz w:val="24"/>
          <w:szCs w:val="24"/>
          <w:lang w:val="en-GB"/>
        </w:rPr>
        <w:t>(included in Shinda 04).</w:t>
      </w:r>
    </w:p>
    <w:sectPr w:rsidR="00487115" w:rsidRPr="0007266E" w:rsidSect="00A906E5">
      <w:footerReference w:type="default" r:id="rId9"/>
      <w:pgSz w:w="11906" w:h="16838" w:code="9"/>
      <w:pgMar w:top="1134" w:right="1418" w:bottom="851" w:left="1418"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73" w:rsidRDefault="00494773" w:rsidP="00A906E5">
      <w:pPr>
        <w:spacing w:after="0" w:line="240" w:lineRule="auto"/>
      </w:pPr>
      <w:r>
        <w:separator/>
      </w:r>
    </w:p>
  </w:endnote>
  <w:endnote w:type="continuationSeparator" w:id="0">
    <w:p w:rsidR="00494773" w:rsidRDefault="00494773" w:rsidP="00A9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24804"/>
      <w:docPartObj>
        <w:docPartGallery w:val="Page Numbers (Bottom of Page)"/>
        <w:docPartUnique/>
      </w:docPartObj>
    </w:sdtPr>
    <w:sdtEndPr/>
    <w:sdtContent>
      <w:p w:rsidR="00A906E5" w:rsidRDefault="00A906E5">
        <w:pPr>
          <w:pStyle w:val="Sidefod"/>
          <w:jc w:val="right"/>
        </w:pPr>
        <w:r>
          <w:fldChar w:fldCharType="begin"/>
        </w:r>
        <w:r>
          <w:instrText>PAGE   \* MERGEFORMAT</w:instrText>
        </w:r>
        <w:r>
          <w:fldChar w:fldCharType="separate"/>
        </w:r>
        <w:r w:rsidR="00580D7F">
          <w:rPr>
            <w:noProof/>
          </w:rPr>
          <w:t>3</w:t>
        </w:r>
        <w:r>
          <w:fldChar w:fldCharType="end"/>
        </w:r>
      </w:p>
    </w:sdtContent>
  </w:sdt>
  <w:p w:rsidR="00A906E5" w:rsidRDefault="00A906E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73" w:rsidRDefault="00494773" w:rsidP="00A906E5">
      <w:pPr>
        <w:spacing w:after="0" w:line="240" w:lineRule="auto"/>
      </w:pPr>
      <w:r>
        <w:separator/>
      </w:r>
    </w:p>
  </w:footnote>
  <w:footnote w:type="continuationSeparator" w:id="0">
    <w:p w:rsidR="00494773" w:rsidRDefault="00494773" w:rsidP="00A90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7C3"/>
    <w:multiLevelType w:val="hybridMultilevel"/>
    <w:tmpl w:val="6B5C0398"/>
    <w:lvl w:ilvl="0" w:tplc="E8C6B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F73EC"/>
    <w:multiLevelType w:val="hybridMultilevel"/>
    <w:tmpl w:val="06D20944"/>
    <w:lvl w:ilvl="0" w:tplc="1598D7D4">
      <w:start w:val="1"/>
      <w:numFmt w:val="decimal"/>
      <w:lvlText w:val="%1)"/>
      <w:lvlJc w:val="left"/>
      <w:pPr>
        <w:ind w:left="750" w:hanging="39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7D32A4"/>
    <w:multiLevelType w:val="hybridMultilevel"/>
    <w:tmpl w:val="688AEA62"/>
    <w:lvl w:ilvl="0" w:tplc="FCF620EC">
      <w:start w:val="1"/>
      <w:numFmt w:val="decimal"/>
      <w:lvlText w:val="%1)"/>
      <w:lvlJc w:val="left"/>
      <w:pPr>
        <w:ind w:left="720" w:hanging="360"/>
      </w:pPr>
      <w:rPr>
        <w:rFonts w:ascii="Sylfaen" w:hAnsi="Sylfaen" w:cstheme="minorBidi" w:hint="default"/>
        <w:b/>
        <w:color w:val="000000" w:themeColor="text1"/>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4801A7"/>
    <w:multiLevelType w:val="hybridMultilevel"/>
    <w:tmpl w:val="6B3E8AB6"/>
    <w:lvl w:ilvl="0" w:tplc="FCF620EC">
      <w:start w:val="1"/>
      <w:numFmt w:val="decimal"/>
      <w:lvlText w:val="%1)"/>
      <w:lvlJc w:val="left"/>
      <w:pPr>
        <w:ind w:left="720" w:hanging="360"/>
      </w:pPr>
      <w:rPr>
        <w:rFonts w:ascii="Sylfaen" w:hAnsi="Sylfaen" w:cstheme="minorBidi" w:hint="default"/>
        <w:b/>
        <w:color w:val="000000" w:themeColor="text1"/>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3C1605"/>
    <w:multiLevelType w:val="hybridMultilevel"/>
    <w:tmpl w:val="9F6C7C88"/>
    <w:lvl w:ilvl="0" w:tplc="1598D7D4">
      <w:start w:val="1"/>
      <w:numFmt w:val="decimal"/>
      <w:lvlText w:val="%1)"/>
      <w:lvlJc w:val="left"/>
      <w:pPr>
        <w:ind w:left="750" w:hanging="39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FA7CC0"/>
    <w:multiLevelType w:val="hybridMultilevel"/>
    <w:tmpl w:val="193425CC"/>
    <w:lvl w:ilvl="0" w:tplc="062E71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F903B6"/>
    <w:multiLevelType w:val="hybridMultilevel"/>
    <w:tmpl w:val="2DBAA964"/>
    <w:lvl w:ilvl="0" w:tplc="04050011">
      <w:start w:val="1"/>
      <w:numFmt w:val="decimal"/>
      <w:lvlText w:val="%1)"/>
      <w:lvlJc w:val="left"/>
      <w:pPr>
        <w:ind w:left="720" w:hanging="360"/>
      </w:pPr>
      <w:rPr>
        <w:rFonts w:hint="default"/>
        <w:b/>
        <w:color w:val="000000" w:themeColor="text1"/>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C21E86"/>
    <w:multiLevelType w:val="hybridMultilevel"/>
    <w:tmpl w:val="84901C8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6AE63CEC"/>
    <w:multiLevelType w:val="hybridMultilevel"/>
    <w:tmpl w:val="C37E6A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786C13"/>
    <w:multiLevelType w:val="hybridMultilevel"/>
    <w:tmpl w:val="AF38A4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0D2093"/>
    <w:multiLevelType w:val="hybridMultilevel"/>
    <w:tmpl w:val="00E6CDC6"/>
    <w:lvl w:ilvl="0" w:tplc="E4A66CD8">
      <w:start w:val="1"/>
      <w:numFmt w:val="decimal"/>
      <w:lvlText w:val="%1."/>
      <w:lvlJc w:val="left"/>
      <w:pPr>
        <w:tabs>
          <w:tab w:val="num" w:pos="1320"/>
        </w:tabs>
        <w:ind w:left="13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0"/>
  </w:num>
  <w:num w:numId="4">
    <w:abstractNumId w:val="2"/>
  </w:num>
  <w:num w:numId="5">
    <w:abstractNumId w:val="6"/>
  </w:num>
  <w:num w:numId="6">
    <w:abstractNumId w:val="7"/>
  </w:num>
  <w:num w:numId="7">
    <w:abstractNumId w:val="5"/>
  </w:num>
  <w:num w:numId="8">
    <w:abstractNumId w:val="4"/>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1E"/>
    <w:rsid w:val="0000539B"/>
    <w:rsid w:val="0002288D"/>
    <w:rsid w:val="00033CE5"/>
    <w:rsid w:val="0004528C"/>
    <w:rsid w:val="0007266E"/>
    <w:rsid w:val="0008383A"/>
    <w:rsid w:val="00084F79"/>
    <w:rsid w:val="000A608E"/>
    <w:rsid w:val="000B40E5"/>
    <w:rsid w:val="000D7277"/>
    <w:rsid w:val="000F02C4"/>
    <w:rsid w:val="0011642C"/>
    <w:rsid w:val="00125D63"/>
    <w:rsid w:val="00126BF6"/>
    <w:rsid w:val="001374A8"/>
    <w:rsid w:val="00174B2A"/>
    <w:rsid w:val="00176BBD"/>
    <w:rsid w:val="00182EAD"/>
    <w:rsid w:val="00186B69"/>
    <w:rsid w:val="001918B5"/>
    <w:rsid w:val="00193813"/>
    <w:rsid w:val="001A533E"/>
    <w:rsid w:val="001B50CC"/>
    <w:rsid w:val="001C010A"/>
    <w:rsid w:val="001C0D4B"/>
    <w:rsid w:val="001C7571"/>
    <w:rsid w:val="001D023D"/>
    <w:rsid w:val="001F5F5C"/>
    <w:rsid w:val="00234CCB"/>
    <w:rsid w:val="00242F30"/>
    <w:rsid w:val="00254810"/>
    <w:rsid w:val="002579F6"/>
    <w:rsid w:val="002645E7"/>
    <w:rsid w:val="002956F9"/>
    <w:rsid w:val="002B2C15"/>
    <w:rsid w:val="002B6F38"/>
    <w:rsid w:val="002D0A62"/>
    <w:rsid w:val="00304F93"/>
    <w:rsid w:val="0030667B"/>
    <w:rsid w:val="00322C94"/>
    <w:rsid w:val="00374C03"/>
    <w:rsid w:val="003773ED"/>
    <w:rsid w:val="00381415"/>
    <w:rsid w:val="00381A4C"/>
    <w:rsid w:val="003A0C91"/>
    <w:rsid w:val="003F1E3C"/>
    <w:rsid w:val="004259BD"/>
    <w:rsid w:val="00451C4E"/>
    <w:rsid w:val="00487115"/>
    <w:rsid w:val="00494773"/>
    <w:rsid w:val="004A2D5B"/>
    <w:rsid w:val="004A7AC3"/>
    <w:rsid w:val="004F43D6"/>
    <w:rsid w:val="005225F3"/>
    <w:rsid w:val="00543A7B"/>
    <w:rsid w:val="00547E29"/>
    <w:rsid w:val="00563D69"/>
    <w:rsid w:val="0057221A"/>
    <w:rsid w:val="0057764F"/>
    <w:rsid w:val="0057785D"/>
    <w:rsid w:val="00580712"/>
    <w:rsid w:val="00580D7F"/>
    <w:rsid w:val="00582E1A"/>
    <w:rsid w:val="00595B14"/>
    <w:rsid w:val="005A06FB"/>
    <w:rsid w:val="005A336F"/>
    <w:rsid w:val="005A35FF"/>
    <w:rsid w:val="005A510B"/>
    <w:rsid w:val="005D0056"/>
    <w:rsid w:val="005F6B40"/>
    <w:rsid w:val="00604461"/>
    <w:rsid w:val="00605D9D"/>
    <w:rsid w:val="00662A8B"/>
    <w:rsid w:val="00672D59"/>
    <w:rsid w:val="006866AA"/>
    <w:rsid w:val="006B0981"/>
    <w:rsid w:val="006C2068"/>
    <w:rsid w:val="006D25D6"/>
    <w:rsid w:val="006E72BD"/>
    <w:rsid w:val="006F77F5"/>
    <w:rsid w:val="0070158F"/>
    <w:rsid w:val="00720B90"/>
    <w:rsid w:val="0072198E"/>
    <w:rsid w:val="00721E52"/>
    <w:rsid w:val="0073480B"/>
    <w:rsid w:val="007465A7"/>
    <w:rsid w:val="0075015F"/>
    <w:rsid w:val="007C4129"/>
    <w:rsid w:val="007D1D09"/>
    <w:rsid w:val="007E52B2"/>
    <w:rsid w:val="007F3DFD"/>
    <w:rsid w:val="00805E5F"/>
    <w:rsid w:val="0080704E"/>
    <w:rsid w:val="00807D25"/>
    <w:rsid w:val="00831E66"/>
    <w:rsid w:val="00834B37"/>
    <w:rsid w:val="0084665E"/>
    <w:rsid w:val="0087118B"/>
    <w:rsid w:val="00880AAF"/>
    <w:rsid w:val="00885A08"/>
    <w:rsid w:val="008A247A"/>
    <w:rsid w:val="008A6F2B"/>
    <w:rsid w:val="008F662B"/>
    <w:rsid w:val="00927262"/>
    <w:rsid w:val="00954E95"/>
    <w:rsid w:val="009945CF"/>
    <w:rsid w:val="00997C1A"/>
    <w:rsid w:val="009A1845"/>
    <w:rsid w:val="009B5980"/>
    <w:rsid w:val="009B5AB2"/>
    <w:rsid w:val="009C2BCF"/>
    <w:rsid w:val="00A05B20"/>
    <w:rsid w:val="00A060D2"/>
    <w:rsid w:val="00A1737A"/>
    <w:rsid w:val="00A43173"/>
    <w:rsid w:val="00A43EFC"/>
    <w:rsid w:val="00A77CD8"/>
    <w:rsid w:val="00A80FBF"/>
    <w:rsid w:val="00A906E5"/>
    <w:rsid w:val="00AB17B8"/>
    <w:rsid w:val="00B025BF"/>
    <w:rsid w:val="00B22E8C"/>
    <w:rsid w:val="00B320D2"/>
    <w:rsid w:val="00B33D7F"/>
    <w:rsid w:val="00B43315"/>
    <w:rsid w:val="00B70856"/>
    <w:rsid w:val="00B81794"/>
    <w:rsid w:val="00B87798"/>
    <w:rsid w:val="00BD0B35"/>
    <w:rsid w:val="00BE47A7"/>
    <w:rsid w:val="00BF3102"/>
    <w:rsid w:val="00BF670A"/>
    <w:rsid w:val="00C30F1C"/>
    <w:rsid w:val="00C459EF"/>
    <w:rsid w:val="00C61A04"/>
    <w:rsid w:val="00C77487"/>
    <w:rsid w:val="00C8449D"/>
    <w:rsid w:val="00CA452F"/>
    <w:rsid w:val="00CA4822"/>
    <w:rsid w:val="00CB621E"/>
    <w:rsid w:val="00CB7153"/>
    <w:rsid w:val="00CE14AA"/>
    <w:rsid w:val="00CF6961"/>
    <w:rsid w:val="00D003A4"/>
    <w:rsid w:val="00D17720"/>
    <w:rsid w:val="00D263A4"/>
    <w:rsid w:val="00D31D63"/>
    <w:rsid w:val="00D35DE1"/>
    <w:rsid w:val="00D47316"/>
    <w:rsid w:val="00D7516D"/>
    <w:rsid w:val="00DC76BF"/>
    <w:rsid w:val="00DE2378"/>
    <w:rsid w:val="00DE43B0"/>
    <w:rsid w:val="00E35789"/>
    <w:rsid w:val="00E62D6D"/>
    <w:rsid w:val="00E66908"/>
    <w:rsid w:val="00E70A65"/>
    <w:rsid w:val="00E9007A"/>
    <w:rsid w:val="00E94687"/>
    <w:rsid w:val="00ED3BFD"/>
    <w:rsid w:val="00EE7747"/>
    <w:rsid w:val="00F2302A"/>
    <w:rsid w:val="00F42FE6"/>
    <w:rsid w:val="00F905E6"/>
    <w:rsid w:val="00F96D86"/>
    <w:rsid w:val="00FA7488"/>
    <w:rsid w:val="00FC2E5E"/>
    <w:rsid w:val="00FC4ED9"/>
    <w:rsid w:val="00FC7FEB"/>
    <w:rsid w:val="00FF55A2"/>
    <w:rsid w:val="00FF5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68"/>
  </w:style>
  <w:style w:type="paragraph" w:styleId="Overskrift1">
    <w:name w:val="heading 1"/>
    <w:basedOn w:val="Normal"/>
    <w:next w:val="Normal"/>
    <w:link w:val="Overskrift1Tegn"/>
    <w:uiPriority w:val="9"/>
    <w:qFormat/>
    <w:rsid w:val="00F96D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9"/>
    <w:qFormat/>
    <w:rsid w:val="009945C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Overskrift3">
    <w:name w:val="heading 3"/>
    <w:basedOn w:val="Normal"/>
    <w:next w:val="Normal"/>
    <w:link w:val="Overskrift3Tegn"/>
    <w:uiPriority w:val="9"/>
    <w:semiHidden/>
    <w:unhideWhenUsed/>
    <w:qFormat/>
    <w:rsid w:val="003F1E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3F1E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CB621E"/>
    <w:rPr>
      <w:color w:val="0000FF"/>
      <w:u w:val="single"/>
    </w:rPr>
  </w:style>
  <w:style w:type="character" w:customStyle="1" w:styleId="jlqj4b">
    <w:name w:val="jlqj4b"/>
    <w:basedOn w:val="Standardskrifttypeiafsnit"/>
    <w:rsid w:val="00CB621E"/>
  </w:style>
  <w:style w:type="paragraph" w:styleId="Undertitel">
    <w:name w:val="Subtitle"/>
    <w:basedOn w:val="Normal"/>
    <w:next w:val="Normal"/>
    <w:link w:val="UndertitelTegn"/>
    <w:uiPriority w:val="11"/>
    <w:qFormat/>
    <w:rsid w:val="006C2068"/>
    <w:pPr>
      <w:numPr>
        <w:ilvl w:val="1"/>
      </w:numPr>
      <w:spacing w:before="360"/>
    </w:pPr>
    <w:rPr>
      <w:rFonts w:eastAsiaTheme="minorEastAsia"/>
      <w:smallCaps/>
      <w:color w:val="0070C0"/>
      <w:spacing w:val="15"/>
      <w:sz w:val="26"/>
    </w:rPr>
  </w:style>
  <w:style w:type="character" w:customStyle="1" w:styleId="UndertitelTegn">
    <w:name w:val="Undertitel Tegn"/>
    <w:basedOn w:val="Standardskrifttypeiafsnit"/>
    <w:link w:val="Undertitel"/>
    <w:uiPriority w:val="11"/>
    <w:rsid w:val="006C2068"/>
    <w:rPr>
      <w:rFonts w:eastAsiaTheme="minorEastAsia"/>
      <w:smallCaps/>
      <w:color w:val="0070C0"/>
      <w:spacing w:val="15"/>
      <w:sz w:val="26"/>
    </w:rPr>
  </w:style>
  <w:style w:type="character" w:customStyle="1" w:styleId="Overskrift2Tegn">
    <w:name w:val="Overskrift 2 Tegn"/>
    <w:basedOn w:val="Standardskrifttypeiafsnit"/>
    <w:link w:val="Overskrift2"/>
    <w:uiPriority w:val="9"/>
    <w:rsid w:val="009945CF"/>
    <w:rPr>
      <w:rFonts w:ascii="Times New Roman" w:eastAsia="Times New Roman" w:hAnsi="Times New Roman" w:cs="Times New Roman"/>
      <w:b/>
      <w:bCs/>
      <w:sz w:val="36"/>
      <w:szCs w:val="36"/>
      <w:lang w:eastAsia="cs-CZ"/>
    </w:rPr>
  </w:style>
  <w:style w:type="character" w:customStyle="1" w:styleId="Overskrift1Tegn">
    <w:name w:val="Overskrift 1 Tegn"/>
    <w:basedOn w:val="Standardskrifttypeiafsnit"/>
    <w:link w:val="Overskrift1"/>
    <w:uiPriority w:val="9"/>
    <w:rsid w:val="00F96D86"/>
    <w:rPr>
      <w:rFonts w:asciiTheme="majorHAnsi" w:eastAsiaTheme="majorEastAsia" w:hAnsiTheme="majorHAnsi" w:cstheme="majorBidi"/>
      <w:color w:val="2E74B5" w:themeColor="accent1" w:themeShade="BF"/>
      <w:sz w:val="32"/>
      <w:szCs w:val="32"/>
    </w:rPr>
  </w:style>
  <w:style w:type="character" w:styleId="Strk">
    <w:name w:val="Strong"/>
    <w:qFormat/>
    <w:rsid w:val="00B33D7F"/>
    <w:rPr>
      <w:rFonts w:ascii="Times New Roman" w:hAnsi="Times New Roman"/>
      <w:b/>
      <w:bCs/>
      <w:i/>
    </w:rPr>
  </w:style>
  <w:style w:type="character" w:customStyle="1" w:styleId="lexftxsamp2t">
    <w:name w:val="lex_ftx_samp2t"/>
    <w:basedOn w:val="Standardskrifttypeiafsnit"/>
    <w:rsid w:val="00CE14AA"/>
  </w:style>
  <w:style w:type="paragraph" w:styleId="Listeafsnit">
    <w:name w:val="List Paragraph"/>
    <w:basedOn w:val="Normal"/>
    <w:uiPriority w:val="34"/>
    <w:qFormat/>
    <w:rsid w:val="00C30F1C"/>
    <w:pPr>
      <w:ind w:left="720"/>
      <w:contextualSpacing/>
    </w:pPr>
  </w:style>
  <w:style w:type="character" w:customStyle="1" w:styleId="Overskrift4Tegn">
    <w:name w:val="Overskrift 4 Tegn"/>
    <w:basedOn w:val="Standardskrifttypeiafsnit"/>
    <w:link w:val="Overskrift4"/>
    <w:uiPriority w:val="9"/>
    <w:semiHidden/>
    <w:rsid w:val="003F1E3C"/>
    <w:rPr>
      <w:rFonts w:asciiTheme="majorHAnsi" w:eastAsiaTheme="majorEastAsia" w:hAnsiTheme="majorHAnsi" w:cstheme="majorBidi"/>
      <w:i/>
      <w:iCs/>
      <w:color w:val="2E74B5" w:themeColor="accent1" w:themeShade="BF"/>
    </w:rPr>
  </w:style>
  <w:style w:type="character" w:customStyle="1" w:styleId="Overskrift3Tegn">
    <w:name w:val="Overskrift 3 Tegn"/>
    <w:basedOn w:val="Standardskrifttypeiafsnit"/>
    <w:link w:val="Overskrift3"/>
    <w:uiPriority w:val="9"/>
    <w:semiHidden/>
    <w:rsid w:val="003F1E3C"/>
    <w:rPr>
      <w:rFonts w:asciiTheme="majorHAnsi" w:eastAsiaTheme="majorEastAsia" w:hAnsiTheme="majorHAnsi" w:cstheme="majorBidi"/>
      <w:color w:val="1F4D78" w:themeColor="accent1" w:themeShade="7F"/>
      <w:sz w:val="24"/>
      <w:szCs w:val="24"/>
    </w:rPr>
  </w:style>
  <w:style w:type="character" w:styleId="Kommentarhenvisning">
    <w:name w:val="annotation reference"/>
    <w:rsid w:val="003F1E3C"/>
    <w:rPr>
      <w:sz w:val="16"/>
      <w:szCs w:val="16"/>
    </w:rPr>
  </w:style>
  <w:style w:type="paragraph" w:styleId="Kommentartekst">
    <w:name w:val="annotation text"/>
    <w:basedOn w:val="Normal"/>
    <w:link w:val="KommentartekstTegn"/>
    <w:rsid w:val="003F1E3C"/>
    <w:pPr>
      <w:spacing w:after="0" w:line="240" w:lineRule="auto"/>
    </w:pPr>
    <w:rPr>
      <w:rFonts w:ascii="Times New Roman" w:eastAsia="Times New Roman" w:hAnsi="Times New Roman" w:cs="Times New Roman"/>
      <w:noProof/>
      <w:sz w:val="20"/>
      <w:szCs w:val="20"/>
      <w:lang w:val="en-GB" w:eastAsia="ru-RU"/>
    </w:rPr>
  </w:style>
  <w:style w:type="character" w:customStyle="1" w:styleId="KommentartekstTegn">
    <w:name w:val="Kommentartekst Tegn"/>
    <w:basedOn w:val="Standardskrifttypeiafsnit"/>
    <w:link w:val="Kommentartekst"/>
    <w:rsid w:val="003F1E3C"/>
    <w:rPr>
      <w:rFonts w:ascii="Times New Roman" w:eastAsia="Times New Roman" w:hAnsi="Times New Roman" w:cs="Times New Roman"/>
      <w:noProof/>
      <w:sz w:val="20"/>
      <w:szCs w:val="20"/>
      <w:lang w:val="en-GB" w:eastAsia="ru-RU"/>
    </w:rPr>
  </w:style>
  <w:style w:type="paragraph" w:styleId="Markeringsbobletekst">
    <w:name w:val="Balloon Text"/>
    <w:basedOn w:val="Normal"/>
    <w:link w:val="MarkeringsbobletekstTegn"/>
    <w:uiPriority w:val="99"/>
    <w:semiHidden/>
    <w:unhideWhenUsed/>
    <w:rsid w:val="003F1E3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1E3C"/>
    <w:rPr>
      <w:rFonts w:ascii="Segoe UI" w:hAnsi="Segoe UI" w:cs="Segoe UI"/>
      <w:sz w:val="18"/>
      <w:szCs w:val="18"/>
    </w:rPr>
  </w:style>
  <w:style w:type="paragraph" w:styleId="Sidehoved">
    <w:name w:val="header"/>
    <w:basedOn w:val="Normal"/>
    <w:link w:val="SidehovedTegn"/>
    <w:uiPriority w:val="99"/>
    <w:unhideWhenUsed/>
    <w:rsid w:val="00A906E5"/>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A906E5"/>
  </w:style>
  <w:style w:type="paragraph" w:styleId="Sidefod">
    <w:name w:val="footer"/>
    <w:basedOn w:val="Normal"/>
    <w:link w:val="SidefodTegn"/>
    <w:uiPriority w:val="99"/>
    <w:unhideWhenUsed/>
    <w:rsid w:val="00A906E5"/>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A90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68"/>
  </w:style>
  <w:style w:type="paragraph" w:styleId="Overskrift1">
    <w:name w:val="heading 1"/>
    <w:basedOn w:val="Normal"/>
    <w:next w:val="Normal"/>
    <w:link w:val="Overskrift1Tegn"/>
    <w:uiPriority w:val="9"/>
    <w:qFormat/>
    <w:rsid w:val="00F96D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9"/>
    <w:qFormat/>
    <w:rsid w:val="009945C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Overskrift3">
    <w:name w:val="heading 3"/>
    <w:basedOn w:val="Normal"/>
    <w:next w:val="Normal"/>
    <w:link w:val="Overskrift3Tegn"/>
    <w:uiPriority w:val="9"/>
    <w:semiHidden/>
    <w:unhideWhenUsed/>
    <w:qFormat/>
    <w:rsid w:val="003F1E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3F1E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CB621E"/>
    <w:rPr>
      <w:color w:val="0000FF"/>
      <w:u w:val="single"/>
    </w:rPr>
  </w:style>
  <w:style w:type="character" w:customStyle="1" w:styleId="jlqj4b">
    <w:name w:val="jlqj4b"/>
    <w:basedOn w:val="Standardskrifttypeiafsnit"/>
    <w:rsid w:val="00CB621E"/>
  </w:style>
  <w:style w:type="paragraph" w:styleId="Undertitel">
    <w:name w:val="Subtitle"/>
    <w:basedOn w:val="Normal"/>
    <w:next w:val="Normal"/>
    <w:link w:val="UndertitelTegn"/>
    <w:uiPriority w:val="11"/>
    <w:qFormat/>
    <w:rsid w:val="006C2068"/>
    <w:pPr>
      <w:numPr>
        <w:ilvl w:val="1"/>
      </w:numPr>
      <w:spacing w:before="360"/>
    </w:pPr>
    <w:rPr>
      <w:rFonts w:eastAsiaTheme="minorEastAsia"/>
      <w:smallCaps/>
      <w:color w:val="0070C0"/>
      <w:spacing w:val="15"/>
      <w:sz w:val="26"/>
    </w:rPr>
  </w:style>
  <w:style w:type="character" w:customStyle="1" w:styleId="UndertitelTegn">
    <w:name w:val="Undertitel Tegn"/>
    <w:basedOn w:val="Standardskrifttypeiafsnit"/>
    <w:link w:val="Undertitel"/>
    <w:uiPriority w:val="11"/>
    <w:rsid w:val="006C2068"/>
    <w:rPr>
      <w:rFonts w:eastAsiaTheme="minorEastAsia"/>
      <w:smallCaps/>
      <w:color w:val="0070C0"/>
      <w:spacing w:val="15"/>
      <w:sz w:val="26"/>
    </w:rPr>
  </w:style>
  <w:style w:type="character" w:customStyle="1" w:styleId="Overskrift2Tegn">
    <w:name w:val="Overskrift 2 Tegn"/>
    <w:basedOn w:val="Standardskrifttypeiafsnit"/>
    <w:link w:val="Overskrift2"/>
    <w:uiPriority w:val="9"/>
    <w:rsid w:val="009945CF"/>
    <w:rPr>
      <w:rFonts w:ascii="Times New Roman" w:eastAsia="Times New Roman" w:hAnsi="Times New Roman" w:cs="Times New Roman"/>
      <w:b/>
      <w:bCs/>
      <w:sz w:val="36"/>
      <w:szCs w:val="36"/>
      <w:lang w:eastAsia="cs-CZ"/>
    </w:rPr>
  </w:style>
  <w:style w:type="character" w:customStyle="1" w:styleId="Overskrift1Tegn">
    <w:name w:val="Overskrift 1 Tegn"/>
    <w:basedOn w:val="Standardskrifttypeiafsnit"/>
    <w:link w:val="Overskrift1"/>
    <w:uiPriority w:val="9"/>
    <w:rsid w:val="00F96D86"/>
    <w:rPr>
      <w:rFonts w:asciiTheme="majorHAnsi" w:eastAsiaTheme="majorEastAsia" w:hAnsiTheme="majorHAnsi" w:cstheme="majorBidi"/>
      <w:color w:val="2E74B5" w:themeColor="accent1" w:themeShade="BF"/>
      <w:sz w:val="32"/>
      <w:szCs w:val="32"/>
    </w:rPr>
  </w:style>
  <w:style w:type="character" w:styleId="Strk">
    <w:name w:val="Strong"/>
    <w:qFormat/>
    <w:rsid w:val="00B33D7F"/>
    <w:rPr>
      <w:rFonts w:ascii="Times New Roman" w:hAnsi="Times New Roman"/>
      <w:b/>
      <w:bCs/>
      <w:i/>
    </w:rPr>
  </w:style>
  <w:style w:type="character" w:customStyle="1" w:styleId="lexftxsamp2t">
    <w:name w:val="lex_ftx_samp2t"/>
    <w:basedOn w:val="Standardskrifttypeiafsnit"/>
    <w:rsid w:val="00CE14AA"/>
  </w:style>
  <w:style w:type="paragraph" w:styleId="Listeafsnit">
    <w:name w:val="List Paragraph"/>
    <w:basedOn w:val="Normal"/>
    <w:uiPriority w:val="34"/>
    <w:qFormat/>
    <w:rsid w:val="00C30F1C"/>
    <w:pPr>
      <w:ind w:left="720"/>
      <w:contextualSpacing/>
    </w:pPr>
  </w:style>
  <w:style w:type="character" w:customStyle="1" w:styleId="Overskrift4Tegn">
    <w:name w:val="Overskrift 4 Tegn"/>
    <w:basedOn w:val="Standardskrifttypeiafsnit"/>
    <w:link w:val="Overskrift4"/>
    <w:uiPriority w:val="9"/>
    <w:semiHidden/>
    <w:rsid w:val="003F1E3C"/>
    <w:rPr>
      <w:rFonts w:asciiTheme="majorHAnsi" w:eastAsiaTheme="majorEastAsia" w:hAnsiTheme="majorHAnsi" w:cstheme="majorBidi"/>
      <w:i/>
      <w:iCs/>
      <w:color w:val="2E74B5" w:themeColor="accent1" w:themeShade="BF"/>
    </w:rPr>
  </w:style>
  <w:style w:type="character" w:customStyle="1" w:styleId="Overskrift3Tegn">
    <w:name w:val="Overskrift 3 Tegn"/>
    <w:basedOn w:val="Standardskrifttypeiafsnit"/>
    <w:link w:val="Overskrift3"/>
    <w:uiPriority w:val="9"/>
    <w:semiHidden/>
    <w:rsid w:val="003F1E3C"/>
    <w:rPr>
      <w:rFonts w:asciiTheme="majorHAnsi" w:eastAsiaTheme="majorEastAsia" w:hAnsiTheme="majorHAnsi" w:cstheme="majorBidi"/>
      <w:color w:val="1F4D78" w:themeColor="accent1" w:themeShade="7F"/>
      <w:sz w:val="24"/>
      <w:szCs w:val="24"/>
    </w:rPr>
  </w:style>
  <w:style w:type="character" w:styleId="Kommentarhenvisning">
    <w:name w:val="annotation reference"/>
    <w:rsid w:val="003F1E3C"/>
    <w:rPr>
      <w:sz w:val="16"/>
      <w:szCs w:val="16"/>
    </w:rPr>
  </w:style>
  <w:style w:type="paragraph" w:styleId="Kommentartekst">
    <w:name w:val="annotation text"/>
    <w:basedOn w:val="Normal"/>
    <w:link w:val="KommentartekstTegn"/>
    <w:rsid w:val="003F1E3C"/>
    <w:pPr>
      <w:spacing w:after="0" w:line="240" w:lineRule="auto"/>
    </w:pPr>
    <w:rPr>
      <w:rFonts w:ascii="Times New Roman" w:eastAsia="Times New Roman" w:hAnsi="Times New Roman" w:cs="Times New Roman"/>
      <w:noProof/>
      <w:sz w:val="20"/>
      <w:szCs w:val="20"/>
      <w:lang w:val="en-GB" w:eastAsia="ru-RU"/>
    </w:rPr>
  </w:style>
  <w:style w:type="character" w:customStyle="1" w:styleId="KommentartekstTegn">
    <w:name w:val="Kommentartekst Tegn"/>
    <w:basedOn w:val="Standardskrifttypeiafsnit"/>
    <w:link w:val="Kommentartekst"/>
    <w:rsid w:val="003F1E3C"/>
    <w:rPr>
      <w:rFonts w:ascii="Times New Roman" w:eastAsia="Times New Roman" w:hAnsi="Times New Roman" w:cs="Times New Roman"/>
      <w:noProof/>
      <w:sz w:val="20"/>
      <w:szCs w:val="20"/>
      <w:lang w:val="en-GB" w:eastAsia="ru-RU"/>
    </w:rPr>
  </w:style>
  <w:style w:type="paragraph" w:styleId="Markeringsbobletekst">
    <w:name w:val="Balloon Text"/>
    <w:basedOn w:val="Normal"/>
    <w:link w:val="MarkeringsbobletekstTegn"/>
    <w:uiPriority w:val="99"/>
    <w:semiHidden/>
    <w:unhideWhenUsed/>
    <w:rsid w:val="003F1E3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1E3C"/>
    <w:rPr>
      <w:rFonts w:ascii="Segoe UI" w:hAnsi="Segoe UI" w:cs="Segoe UI"/>
      <w:sz w:val="18"/>
      <w:szCs w:val="18"/>
    </w:rPr>
  </w:style>
  <w:style w:type="paragraph" w:styleId="Sidehoved">
    <w:name w:val="header"/>
    <w:basedOn w:val="Normal"/>
    <w:link w:val="SidehovedTegn"/>
    <w:uiPriority w:val="99"/>
    <w:unhideWhenUsed/>
    <w:rsid w:val="00A906E5"/>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A906E5"/>
  </w:style>
  <w:style w:type="paragraph" w:styleId="Sidefod">
    <w:name w:val="footer"/>
    <w:basedOn w:val="Normal"/>
    <w:link w:val="SidefodTegn"/>
    <w:uiPriority w:val="99"/>
    <w:unhideWhenUsed/>
    <w:rsid w:val="00A906E5"/>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A9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043">
      <w:bodyDiv w:val="1"/>
      <w:marLeft w:val="0"/>
      <w:marRight w:val="0"/>
      <w:marTop w:val="0"/>
      <w:marBottom w:val="0"/>
      <w:divBdr>
        <w:top w:val="none" w:sz="0" w:space="0" w:color="auto"/>
        <w:left w:val="none" w:sz="0" w:space="0" w:color="auto"/>
        <w:bottom w:val="none" w:sz="0" w:space="0" w:color="auto"/>
        <w:right w:val="none" w:sz="0" w:space="0" w:color="auto"/>
      </w:divBdr>
    </w:div>
    <w:div w:id="18259709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118400047">
          <w:marLeft w:val="0"/>
          <w:marRight w:val="0"/>
          <w:marTop w:val="0"/>
          <w:marBottom w:val="0"/>
          <w:divBdr>
            <w:top w:val="none" w:sz="0" w:space="0" w:color="auto"/>
            <w:left w:val="none" w:sz="0" w:space="0" w:color="auto"/>
            <w:bottom w:val="none" w:sz="0" w:space="0" w:color="auto"/>
            <w:right w:val="none" w:sz="0" w:space="0" w:color="auto"/>
          </w:divBdr>
          <w:divsChild>
            <w:div w:id="1470784759">
              <w:marLeft w:val="0"/>
              <w:marRight w:val="0"/>
              <w:marTop w:val="0"/>
              <w:marBottom w:val="0"/>
              <w:divBdr>
                <w:top w:val="none" w:sz="0" w:space="0" w:color="auto"/>
                <w:left w:val="none" w:sz="0" w:space="0" w:color="auto"/>
                <w:bottom w:val="none" w:sz="0" w:space="0" w:color="auto"/>
                <w:right w:val="none" w:sz="0" w:space="0" w:color="auto"/>
              </w:divBdr>
              <w:divsChild>
                <w:div w:id="1260020869">
                  <w:marLeft w:val="0"/>
                  <w:marRight w:val="0"/>
                  <w:marTop w:val="0"/>
                  <w:marBottom w:val="0"/>
                  <w:divBdr>
                    <w:top w:val="none" w:sz="0" w:space="0" w:color="auto"/>
                    <w:left w:val="none" w:sz="0" w:space="0" w:color="auto"/>
                    <w:bottom w:val="none" w:sz="0" w:space="0" w:color="auto"/>
                    <w:right w:val="none" w:sz="0" w:space="0" w:color="auto"/>
                  </w:divBdr>
                  <w:divsChild>
                    <w:div w:id="1286543070">
                      <w:marLeft w:val="0"/>
                      <w:marRight w:val="0"/>
                      <w:marTop w:val="0"/>
                      <w:marBottom w:val="0"/>
                      <w:divBdr>
                        <w:top w:val="none" w:sz="0" w:space="0" w:color="auto"/>
                        <w:left w:val="none" w:sz="0" w:space="0" w:color="auto"/>
                        <w:bottom w:val="none" w:sz="0" w:space="0" w:color="auto"/>
                        <w:right w:val="none" w:sz="0" w:space="0" w:color="auto"/>
                      </w:divBdr>
                    </w:div>
                    <w:div w:id="1318070486">
                      <w:marLeft w:val="0"/>
                      <w:marRight w:val="0"/>
                      <w:marTop w:val="0"/>
                      <w:marBottom w:val="0"/>
                      <w:divBdr>
                        <w:top w:val="none" w:sz="0" w:space="0" w:color="auto"/>
                        <w:left w:val="none" w:sz="0" w:space="0" w:color="auto"/>
                        <w:bottom w:val="none" w:sz="0" w:space="0" w:color="auto"/>
                        <w:right w:val="none" w:sz="0" w:space="0" w:color="auto"/>
                      </w:divBdr>
                    </w:div>
                    <w:div w:id="563177814">
                      <w:marLeft w:val="0"/>
                      <w:marRight w:val="0"/>
                      <w:marTop w:val="0"/>
                      <w:marBottom w:val="0"/>
                      <w:divBdr>
                        <w:top w:val="none" w:sz="0" w:space="0" w:color="auto"/>
                        <w:left w:val="none" w:sz="0" w:space="0" w:color="auto"/>
                        <w:bottom w:val="none" w:sz="0" w:space="0" w:color="auto"/>
                        <w:right w:val="none" w:sz="0" w:space="0" w:color="auto"/>
                      </w:divBdr>
                    </w:div>
                    <w:div w:id="556471329">
                      <w:marLeft w:val="0"/>
                      <w:marRight w:val="0"/>
                      <w:marTop w:val="0"/>
                      <w:marBottom w:val="0"/>
                      <w:divBdr>
                        <w:top w:val="none" w:sz="0" w:space="0" w:color="auto"/>
                        <w:left w:val="none" w:sz="0" w:space="0" w:color="auto"/>
                        <w:bottom w:val="none" w:sz="0" w:space="0" w:color="auto"/>
                        <w:right w:val="none" w:sz="0" w:space="0" w:color="auto"/>
                      </w:divBdr>
                    </w:div>
                    <w:div w:id="1252660462">
                      <w:marLeft w:val="0"/>
                      <w:marRight w:val="0"/>
                      <w:marTop w:val="0"/>
                      <w:marBottom w:val="0"/>
                      <w:divBdr>
                        <w:top w:val="none" w:sz="0" w:space="0" w:color="auto"/>
                        <w:left w:val="none" w:sz="0" w:space="0" w:color="auto"/>
                        <w:bottom w:val="none" w:sz="0" w:space="0" w:color="auto"/>
                        <w:right w:val="none" w:sz="0" w:space="0" w:color="auto"/>
                      </w:divBdr>
                    </w:div>
                    <w:div w:id="2038041241">
                      <w:marLeft w:val="0"/>
                      <w:marRight w:val="0"/>
                      <w:marTop w:val="0"/>
                      <w:marBottom w:val="0"/>
                      <w:divBdr>
                        <w:top w:val="none" w:sz="0" w:space="0" w:color="auto"/>
                        <w:left w:val="none" w:sz="0" w:space="0" w:color="auto"/>
                        <w:bottom w:val="none" w:sz="0" w:space="0" w:color="auto"/>
                        <w:right w:val="none" w:sz="0" w:space="0" w:color="auto"/>
                      </w:divBdr>
                    </w:div>
                    <w:div w:id="595482803">
                      <w:marLeft w:val="0"/>
                      <w:marRight w:val="0"/>
                      <w:marTop w:val="0"/>
                      <w:marBottom w:val="0"/>
                      <w:divBdr>
                        <w:top w:val="none" w:sz="0" w:space="0" w:color="auto"/>
                        <w:left w:val="none" w:sz="0" w:space="0" w:color="auto"/>
                        <w:bottom w:val="none" w:sz="0" w:space="0" w:color="auto"/>
                        <w:right w:val="none" w:sz="0" w:space="0" w:color="auto"/>
                      </w:divBdr>
                    </w:div>
                    <w:div w:id="1759642361">
                      <w:marLeft w:val="0"/>
                      <w:marRight w:val="0"/>
                      <w:marTop w:val="0"/>
                      <w:marBottom w:val="0"/>
                      <w:divBdr>
                        <w:top w:val="none" w:sz="0" w:space="0" w:color="auto"/>
                        <w:left w:val="none" w:sz="0" w:space="0" w:color="auto"/>
                        <w:bottom w:val="none" w:sz="0" w:space="0" w:color="auto"/>
                        <w:right w:val="none" w:sz="0" w:space="0" w:color="auto"/>
                      </w:divBdr>
                    </w:div>
                    <w:div w:id="73863161">
                      <w:marLeft w:val="0"/>
                      <w:marRight w:val="0"/>
                      <w:marTop w:val="0"/>
                      <w:marBottom w:val="0"/>
                      <w:divBdr>
                        <w:top w:val="none" w:sz="0" w:space="0" w:color="auto"/>
                        <w:left w:val="none" w:sz="0" w:space="0" w:color="auto"/>
                        <w:bottom w:val="none" w:sz="0" w:space="0" w:color="auto"/>
                        <w:right w:val="none" w:sz="0" w:space="0" w:color="auto"/>
                      </w:divBdr>
                    </w:div>
                    <w:div w:id="10293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5181">
      <w:bodyDiv w:val="1"/>
      <w:marLeft w:val="0"/>
      <w:marRight w:val="0"/>
      <w:marTop w:val="0"/>
      <w:marBottom w:val="0"/>
      <w:divBdr>
        <w:top w:val="none" w:sz="0" w:space="0" w:color="auto"/>
        <w:left w:val="none" w:sz="0" w:space="0" w:color="auto"/>
        <w:bottom w:val="none" w:sz="0" w:space="0" w:color="auto"/>
        <w:right w:val="none" w:sz="0" w:space="0" w:color="auto"/>
      </w:divBdr>
      <w:divsChild>
        <w:div w:id="140778955">
          <w:marLeft w:val="0"/>
          <w:marRight w:val="0"/>
          <w:marTop w:val="0"/>
          <w:marBottom w:val="0"/>
          <w:divBdr>
            <w:top w:val="none" w:sz="0" w:space="0" w:color="auto"/>
            <w:left w:val="none" w:sz="0" w:space="0" w:color="auto"/>
            <w:bottom w:val="none" w:sz="0" w:space="0" w:color="auto"/>
            <w:right w:val="none" w:sz="0" w:space="0" w:color="auto"/>
          </w:divBdr>
        </w:div>
        <w:div w:id="1741370242">
          <w:marLeft w:val="0"/>
          <w:marRight w:val="0"/>
          <w:marTop w:val="0"/>
          <w:marBottom w:val="0"/>
          <w:divBdr>
            <w:top w:val="none" w:sz="0" w:space="0" w:color="auto"/>
            <w:left w:val="none" w:sz="0" w:space="0" w:color="auto"/>
            <w:bottom w:val="none" w:sz="0" w:space="0" w:color="auto"/>
            <w:right w:val="none" w:sz="0" w:space="0" w:color="auto"/>
          </w:divBdr>
          <w:divsChild>
            <w:div w:id="790173090">
              <w:marLeft w:val="0"/>
              <w:marRight w:val="0"/>
              <w:marTop w:val="0"/>
              <w:marBottom w:val="0"/>
              <w:divBdr>
                <w:top w:val="none" w:sz="0" w:space="0" w:color="auto"/>
                <w:left w:val="none" w:sz="0" w:space="0" w:color="auto"/>
                <w:bottom w:val="none" w:sz="0" w:space="0" w:color="auto"/>
                <w:right w:val="none" w:sz="0" w:space="0" w:color="auto"/>
              </w:divBdr>
              <w:divsChild>
                <w:div w:id="3698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440">
      <w:bodyDiv w:val="1"/>
      <w:marLeft w:val="0"/>
      <w:marRight w:val="0"/>
      <w:marTop w:val="0"/>
      <w:marBottom w:val="0"/>
      <w:divBdr>
        <w:top w:val="none" w:sz="0" w:space="0" w:color="auto"/>
        <w:left w:val="none" w:sz="0" w:space="0" w:color="auto"/>
        <w:bottom w:val="none" w:sz="0" w:space="0" w:color="auto"/>
        <w:right w:val="none" w:sz="0" w:space="0" w:color="auto"/>
      </w:divBdr>
      <w:divsChild>
        <w:div w:id="2005933798">
          <w:marLeft w:val="0"/>
          <w:marRight w:val="0"/>
          <w:marTop w:val="0"/>
          <w:marBottom w:val="0"/>
          <w:divBdr>
            <w:top w:val="none" w:sz="0" w:space="0" w:color="auto"/>
            <w:left w:val="none" w:sz="0" w:space="0" w:color="auto"/>
            <w:bottom w:val="none" w:sz="0" w:space="0" w:color="auto"/>
            <w:right w:val="none" w:sz="0" w:space="0" w:color="auto"/>
          </w:divBdr>
        </w:div>
        <w:div w:id="2059818475">
          <w:marLeft w:val="0"/>
          <w:marRight w:val="0"/>
          <w:marTop w:val="0"/>
          <w:marBottom w:val="0"/>
          <w:divBdr>
            <w:top w:val="none" w:sz="0" w:space="0" w:color="auto"/>
            <w:left w:val="none" w:sz="0" w:space="0" w:color="auto"/>
            <w:bottom w:val="none" w:sz="0" w:space="0" w:color="auto"/>
            <w:right w:val="none" w:sz="0" w:space="0" w:color="auto"/>
          </w:divBdr>
          <w:divsChild>
            <w:div w:id="785734876">
              <w:marLeft w:val="0"/>
              <w:marRight w:val="0"/>
              <w:marTop w:val="0"/>
              <w:marBottom w:val="0"/>
              <w:divBdr>
                <w:top w:val="none" w:sz="0" w:space="0" w:color="auto"/>
                <w:left w:val="none" w:sz="0" w:space="0" w:color="auto"/>
                <w:bottom w:val="none" w:sz="0" w:space="0" w:color="auto"/>
                <w:right w:val="none" w:sz="0" w:space="0" w:color="auto"/>
              </w:divBdr>
              <w:divsChild>
                <w:div w:id="20458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9291">
      <w:bodyDiv w:val="1"/>
      <w:marLeft w:val="0"/>
      <w:marRight w:val="0"/>
      <w:marTop w:val="0"/>
      <w:marBottom w:val="0"/>
      <w:divBdr>
        <w:top w:val="none" w:sz="0" w:space="0" w:color="auto"/>
        <w:left w:val="none" w:sz="0" w:space="0" w:color="auto"/>
        <w:bottom w:val="none" w:sz="0" w:space="0" w:color="auto"/>
        <w:right w:val="none" w:sz="0" w:space="0" w:color="auto"/>
      </w:divBdr>
      <w:divsChild>
        <w:div w:id="1258826375">
          <w:marLeft w:val="0"/>
          <w:marRight w:val="0"/>
          <w:marTop w:val="0"/>
          <w:marBottom w:val="0"/>
          <w:divBdr>
            <w:top w:val="none" w:sz="0" w:space="0" w:color="auto"/>
            <w:left w:val="none" w:sz="0" w:space="0" w:color="auto"/>
            <w:bottom w:val="none" w:sz="0" w:space="0" w:color="auto"/>
            <w:right w:val="none" w:sz="0" w:space="0" w:color="auto"/>
          </w:divBdr>
          <w:divsChild>
            <w:div w:id="1996913608">
              <w:marLeft w:val="0"/>
              <w:marRight w:val="0"/>
              <w:marTop w:val="0"/>
              <w:marBottom w:val="0"/>
              <w:divBdr>
                <w:top w:val="none" w:sz="0" w:space="0" w:color="auto"/>
                <w:left w:val="none" w:sz="0" w:space="0" w:color="auto"/>
                <w:bottom w:val="none" w:sz="0" w:space="0" w:color="auto"/>
                <w:right w:val="none" w:sz="0" w:space="0" w:color="auto"/>
              </w:divBdr>
              <w:divsChild>
                <w:div w:id="848105883">
                  <w:marLeft w:val="0"/>
                  <w:marRight w:val="0"/>
                  <w:marTop w:val="0"/>
                  <w:marBottom w:val="0"/>
                  <w:divBdr>
                    <w:top w:val="none" w:sz="0" w:space="0" w:color="auto"/>
                    <w:left w:val="none" w:sz="0" w:space="0" w:color="auto"/>
                    <w:bottom w:val="none" w:sz="0" w:space="0" w:color="auto"/>
                    <w:right w:val="none" w:sz="0" w:space="0" w:color="auto"/>
                  </w:divBdr>
                  <w:divsChild>
                    <w:div w:id="1222906689">
                      <w:marLeft w:val="0"/>
                      <w:marRight w:val="0"/>
                      <w:marTop w:val="0"/>
                      <w:marBottom w:val="0"/>
                      <w:divBdr>
                        <w:top w:val="none" w:sz="0" w:space="0" w:color="auto"/>
                        <w:left w:val="none" w:sz="0" w:space="0" w:color="auto"/>
                        <w:bottom w:val="none" w:sz="0" w:space="0" w:color="auto"/>
                        <w:right w:val="none" w:sz="0" w:space="0" w:color="auto"/>
                      </w:divBdr>
                      <w:divsChild>
                        <w:div w:id="553976831">
                          <w:marLeft w:val="0"/>
                          <w:marRight w:val="0"/>
                          <w:marTop w:val="0"/>
                          <w:marBottom w:val="0"/>
                          <w:divBdr>
                            <w:top w:val="none" w:sz="0" w:space="0" w:color="auto"/>
                            <w:left w:val="none" w:sz="0" w:space="0" w:color="auto"/>
                            <w:bottom w:val="none" w:sz="0" w:space="0" w:color="auto"/>
                            <w:right w:val="none" w:sz="0" w:space="0" w:color="auto"/>
                          </w:divBdr>
                          <w:divsChild>
                            <w:div w:id="206795852">
                              <w:marLeft w:val="0"/>
                              <w:marRight w:val="0"/>
                              <w:marTop w:val="0"/>
                              <w:marBottom w:val="0"/>
                              <w:divBdr>
                                <w:top w:val="none" w:sz="0" w:space="0" w:color="auto"/>
                                <w:left w:val="none" w:sz="0" w:space="0" w:color="auto"/>
                                <w:bottom w:val="none" w:sz="0" w:space="0" w:color="auto"/>
                                <w:right w:val="none" w:sz="0" w:space="0" w:color="auto"/>
                              </w:divBdr>
                              <w:divsChild>
                                <w:div w:id="1381127251">
                                  <w:marLeft w:val="0"/>
                                  <w:marRight w:val="0"/>
                                  <w:marTop w:val="0"/>
                                  <w:marBottom w:val="0"/>
                                  <w:divBdr>
                                    <w:top w:val="none" w:sz="0" w:space="0" w:color="auto"/>
                                    <w:left w:val="none" w:sz="0" w:space="0" w:color="auto"/>
                                    <w:bottom w:val="none" w:sz="0" w:space="0" w:color="auto"/>
                                    <w:right w:val="none" w:sz="0" w:space="0" w:color="auto"/>
                                  </w:divBdr>
                                  <w:divsChild>
                                    <w:div w:id="19910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502">
          <w:marLeft w:val="0"/>
          <w:marRight w:val="0"/>
          <w:marTop w:val="0"/>
          <w:marBottom w:val="0"/>
          <w:divBdr>
            <w:top w:val="none" w:sz="0" w:space="0" w:color="auto"/>
            <w:left w:val="none" w:sz="0" w:space="0" w:color="auto"/>
            <w:bottom w:val="none" w:sz="0" w:space="0" w:color="auto"/>
            <w:right w:val="none" w:sz="0" w:space="0" w:color="auto"/>
          </w:divBdr>
          <w:divsChild>
            <w:div w:id="41756051">
              <w:marLeft w:val="0"/>
              <w:marRight w:val="0"/>
              <w:marTop w:val="0"/>
              <w:marBottom w:val="0"/>
              <w:divBdr>
                <w:top w:val="none" w:sz="0" w:space="0" w:color="auto"/>
                <w:left w:val="none" w:sz="0" w:space="0" w:color="auto"/>
                <w:bottom w:val="none" w:sz="0" w:space="0" w:color="auto"/>
                <w:right w:val="none" w:sz="0" w:space="0" w:color="auto"/>
              </w:divBdr>
            </w:div>
          </w:divsChild>
        </w:div>
        <w:div w:id="870533994">
          <w:marLeft w:val="0"/>
          <w:marRight w:val="0"/>
          <w:marTop w:val="0"/>
          <w:marBottom w:val="0"/>
          <w:divBdr>
            <w:top w:val="none" w:sz="0" w:space="0" w:color="auto"/>
            <w:left w:val="none" w:sz="0" w:space="0" w:color="auto"/>
            <w:bottom w:val="none" w:sz="0" w:space="0" w:color="auto"/>
            <w:right w:val="none" w:sz="0" w:space="0" w:color="auto"/>
          </w:divBdr>
        </w:div>
      </w:divsChild>
    </w:div>
    <w:div w:id="1599367848">
      <w:bodyDiv w:val="1"/>
      <w:marLeft w:val="0"/>
      <w:marRight w:val="0"/>
      <w:marTop w:val="0"/>
      <w:marBottom w:val="0"/>
      <w:divBdr>
        <w:top w:val="none" w:sz="0" w:space="0" w:color="auto"/>
        <w:left w:val="none" w:sz="0" w:space="0" w:color="auto"/>
        <w:bottom w:val="none" w:sz="0" w:space="0" w:color="auto"/>
        <w:right w:val="none" w:sz="0" w:space="0" w:color="auto"/>
      </w:divBdr>
    </w:div>
    <w:div w:id="1652439610">
      <w:bodyDiv w:val="1"/>
      <w:marLeft w:val="0"/>
      <w:marRight w:val="0"/>
      <w:marTop w:val="0"/>
      <w:marBottom w:val="0"/>
      <w:divBdr>
        <w:top w:val="none" w:sz="0" w:space="0" w:color="auto"/>
        <w:left w:val="none" w:sz="0" w:space="0" w:color="auto"/>
        <w:bottom w:val="none" w:sz="0" w:space="0" w:color="auto"/>
        <w:right w:val="none" w:sz="0" w:space="0" w:color="auto"/>
      </w:divBdr>
    </w:div>
    <w:div w:id="16711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FF26-E584-43FD-BB01-8437435B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2428</Words>
  <Characters>13841</Characters>
  <Application>Microsoft Office Word</Application>
  <DocSecurity>4</DocSecurity>
  <Lines>115</Lines>
  <Paragraphs>32</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ČSÚ</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Měřinská</dc:creator>
  <cp:lastModifiedBy>Steen Bielefeldt Pedersen</cp:lastModifiedBy>
  <cp:revision>2</cp:revision>
  <dcterms:created xsi:type="dcterms:W3CDTF">2021-03-04T07:06:00Z</dcterms:created>
  <dcterms:modified xsi:type="dcterms:W3CDTF">2021-03-04T07:06:00Z</dcterms:modified>
</cp:coreProperties>
</file>