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5B" w:rsidRDefault="00667E5B" w:rsidP="00667E5B">
      <w:pPr>
        <w:jc w:val="center"/>
        <w:rPr>
          <w:sz w:val="28"/>
          <w:szCs w:val="28"/>
        </w:rPr>
      </w:pPr>
      <w:bookmarkStart w:id="0" w:name="_GoBack"/>
      <w:bookmarkEnd w:id="0"/>
      <w:r w:rsidRPr="00667E5B">
        <w:rPr>
          <w:sz w:val="28"/>
          <w:szCs w:val="28"/>
        </w:rPr>
        <w:t>Recommendations and outcomes of comparing income indicators</w:t>
      </w:r>
    </w:p>
    <w:p w:rsidR="00667E5B" w:rsidRDefault="00667E5B" w:rsidP="00667E5B">
      <w:pPr>
        <w:jc w:val="center"/>
        <w:rPr>
          <w:sz w:val="28"/>
          <w:szCs w:val="28"/>
        </w:rPr>
      </w:pPr>
      <w:r>
        <w:rPr>
          <w:sz w:val="28"/>
          <w:szCs w:val="28"/>
        </w:rPr>
        <w:t>HIES vs EU-SILC</w:t>
      </w:r>
    </w:p>
    <w:p w:rsidR="00DE1858" w:rsidRPr="00667E5B" w:rsidRDefault="00DE1858" w:rsidP="00667E5B">
      <w:pPr>
        <w:jc w:val="center"/>
        <w:rPr>
          <w:sz w:val="28"/>
          <w:szCs w:val="28"/>
        </w:rPr>
      </w:pPr>
      <w:r>
        <w:rPr>
          <w:sz w:val="28"/>
          <w:szCs w:val="28"/>
        </w:rPr>
        <w:t xml:space="preserve">Calculation </w:t>
      </w:r>
      <w:proofErr w:type="gramStart"/>
      <w:r>
        <w:rPr>
          <w:sz w:val="28"/>
          <w:szCs w:val="28"/>
        </w:rPr>
        <w:t>At</w:t>
      </w:r>
      <w:proofErr w:type="gramEnd"/>
      <w:r>
        <w:rPr>
          <w:sz w:val="28"/>
          <w:szCs w:val="28"/>
        </w:rPr>
        <w:t xml:space="preserve"> Risk of Poverty Rate</w:t>
      </w:r>
    </w:p>
    <w:tbl>
      <w:tblPr>
        <w:tblStyle w:val="Tabel-Gitter"/>
        <w:tblW w:w="0" w:type="auto"/>
        <w:tblLook w:val="04A0" w:firstRow="1" w:lastRow="0" w:firstColumn="1" w:lastColumn="0" w:noHBand="0" w:noVBand="1"/>
      </w:tblPr>
      <w:tblGrid>
        <w:gridCol w:w="4839"/>
        <w:gridCol w:w="4840"/>
      </w:tblGrid>
      <w:tr w:rsidR="00667E5B" w:rsidTr="00062993">
        <w:tc>
          <w:tcPr>
            <w:tcW w:w="4839" w:type="dxa"/>
          </w:tcPr>
          <w:p w:rsidR="00667E5B" w:rsidRPr="00667E5B" w:rsidRDefault="00667E5B" w:rsidP="00667E5B">
            <w:pPr>
              <w:jc w:val="center"/>
              <w:rPr>
                <w:b/>
                <w:i/>
                <w:sz w:val="28"/>
                <w:szCs w:val="28"/>
                <w:lang w:val="en-GB"/>
              </w:rPr>
            </w:pPr>
            <w:proofErr w:type="spellStart"/>
            <w:r w:rsidRPr="00667E5B">
              <w:rPr>
                <w:b/>
                <w:i/>
                <w:sz w:val="28"/>
                <w:szCs w:val="28"/>
                <w:lang w:val="en-GB"/>
              </w:rPr>
              <w:t>Recommentations</w:t>
            </w:r>
            <w:proofErr w:type="spellEnd"/>
          </w:p>
        </w:tc>
        <w:tc>
          <w:tcPr>
            <w:tcW w:w="4840" w:type="dxa"/>
          </w:tcPr>
          <w:p w:rsidR="00667E5B" w:rsidRPr="00667E5B" w:rsidRDefault="00667E5B" w:rsidP="00667E5B">
            <w:pPr>
              <w:jc w:val="center"/>
              <w:rPr>
                <w:b/>
                <w:i/>
                <w:sz w:val="28"/>
                <w:szCs w:val="28"/>
              </w:rPr>
            </w:pPr>
            <w:r w:rsidRPr="00667E5B">
              <w:rPr>
                <w:b/>
                <w:i/>
                <w:sz w:val="28"/>
                <w:szCs w:val="28"/>
              </w:rPr>
              <w:t>Outcome</w:t>
            </w:r>
            <w:r w:rsidR="00AB1A0D">
              <w:rPr>
                <w:b/>
                <w:i/>
                <w:sz w:val="28"/>
                <w:szCs w:val="28"/>
              </w:rPr>
              <w:t>s</w:t>
            </w:r>
          </w:p>
        </w:tc>
      </w:tr>
      <w:tr w:rsidR="006F0560" w:rsidTr="00A27B6D">
        <w:tc>
          <w:tcPr>
            <w:tcW w:w="9679" w:type="dxa"/>
            <w:gridSpan w:val="2"/>
          </w:tcPr>
          <w:p w:rsidR="006F0560" w:rsidRPr="00667E5B" w:rsidRDefault="006F0560" w:rsidP="00667E5B">
            <w:pPr>
              <w:jc w:val="center"/>
              <w:rPr>
                <w:b/>
                <w:i/>
                <w:sz w:val="28"/>
                <w:szCs w:val="28"/>
              </w:rPr>
            </w:pPr>
          </w:p>
        </w:tc>
      </w:tr>
      <w:tr w:rsidR="00667E5B" w:rsidTr="00814350">
        <w:tc>
          <w:tcPr>
            <w:tcW w:w="9679" w:type="dxa"/>
            <w:gridSpan w:val="2"/>
          </w:tcPr>
          <w:p w:rsidR="00667E5B" w:rsidRPr="00667E5B" w:rsidRDefault="00667E5B" w:rsidP="00667E5B">
            <w:pPr>
              <w:jc w:val="center"/>
              <w:rPr>
                <w:i/>
                <w:sz w:val="24"/>
                <w:szCs w:val="24"/>
              </w:rPr>
            </w:pPr>
            <w:r w:rsidRPr="00667E5B">
              <w:rPr>
                <w:i/>
                <w:sz w:val="24"/>
                <w:szCs w:val="24"/>
              </w:rPr>
              <w:t>Household Income Questionnaire – “</w:t>
            </w:r>
            <w:proofErr w:type="spellStart"/>
            <w:r w:rsidRPr="00667E5B">
              <w:rPr>
                <w:i/>
                <w:sz w:val="24"/>
                <w:szCs w:val="24"/>
              </w:rPr>
              <w:t>shinda</w:t>
            </w:r>
            <w:proofErr w:type="spellEnd"/>
            <w:r w:rsidRPr="00667E5B">
              <w:rPr>
                <w:i/>
                <w:sz w:val="24"/>
                <w:szCs w:val="24"/>
              </w:rPr>
              <w:t xml:space="preserve"> 05”</w:t>
            </w:r>
          </w:p>
        </w:tc>
      </w:tr>
      <w:tr w:rsidR="00667E5B" w:rsidTr="00814350">
        <w:tc>
          <w:tcPr>
            <w:tcW w:w="9679" w:type="dxa"/>
            <w:gridSpan w:val="2"/>
          </w:tcPr>
          <w:p w:rsidR="00667E5B" w:rsidRPr="00667E5B" w:rsidRDefault="00667E5B" w:rsidP="00667E5B">
            <w:pPr>
              <w:rPr>
                <w:i/>
                <w:sz w:val="24"/>
                <w:szCs w:val="24"/>
              </w:rPr>
            </w:pPr>
            <w:r w:rsidRPr="00667E5B">
              <w:rPr>
                <w:b/>
                <w:i/>
                <w:spacing w:val="-1"/>
              </w:rPr>
              <w:t>Module:</w:t>
            </w:r>
            <w:r w:rsidRPr="00667E5B">
              <w:rPr>
                <w:i/>
                <w:spacing w:val="-1"/>
              </w:rPr>
              <w:t xml:space="preserve"> </w:t>
            </w:r>
            <w:r w:rsidRPr="00667E5B">
              <w:rPr>
                <w:i/>
                <w:spacing w:val="-1"/>
                <w:lang w:val="ka-GE"/>
              </w:rPr>
              <w:t xml:space="preserve">1. </w:t>
            </w:r>
            <w:r w:rsidRPr="00667E5B">
              <w:rPr>
                <w:i/>
                <w:spacing w:val="-1"/>
              </w:rPr>
              <w:t>Pensions,</w:t>
            </w:r>
            <w:r w:rsidRPr="00667E5B">
              <w:rPr>
                <w:i/>
                <w:spacing w:val="17"/>
              </w:rPr>
              <w:t xml:space="preserve"> </w:t>
            </w:r>
            <w:r w:rsidRPr="00667E5B">
              <w:rPr>
                <w:i/>
                <w:spacing w:val="-1"/>
              </w:rPr>
              <w:t>scholarships,</w:t>
            </w:r>
            <w:r w:rsidRPr="00667E5B">
              <w:rPr>
                <w:i/>
                <w:spacing w:val="16"/>
              </w:rPr>
              <w:t xml:space="preserve"> </w:t>
            </w:r>
            <w:r w:rsidRPr="00667E5B">
              <w:rPr>
                <w:i/>
                <w:spacing w:val="-1"/>
              </w:rPr>
              <w:t>insurance,</w:t>
            </w:r>
            <w:r w:rsidRPr="00667E5B">
              <w:rPr>
                <w:i/>
                <w:spacing w:val="17"/>
              </w:rPr>
              <w:t xml:space="preserve"> </w:t>
            </w:r>
            <w:r w:rsidRPr="00667E5B">
              <w:rPr>
                <w:i/>
                <w:spacing w:val="-1"/>
              </w:rPr>
              <w:t>assistance</w:t>
            </w:r>
            <w:r w:rsidRPr="00667E5B">
              <w:rPr>
                <w:i/>
                <w:spacing w:val="17"/>
              </w:rPr>
              <w:t xml:space="preserve"> </w:t>
            </w:r>
            <w:r w:rsidRPr="00667E5B">
              <w:rPr>
                <w:i/>
                <w:spacing w:val="-1"/>
              </w:rPr>
              <w:t>during</w:t>
            </w:r>
            <w:r w:rsidRPr="00667E5B">
              <w:rPr>
                <w:i/>
                <w:spacing w:val="18"/>
              </w:rPr>
              <w:t xml:space="preserve"> </w:t>
            </w:r>
            <w:r w:rsidRPr="00667E5B">
              <w:rPr>
                <w:i/>
                <w:spacing w:val="-1"/>
              </w:rPr>
              <w:t>the</w:t>
            </w:r>
            <w:r w:rsidRPr="00667E5B">
              <w:rPr>
                <w:i/>
                <w:spacing w:val="17"/>
              </w:rPr>
              <w:t xml:space="preserve"> </w:t>
            </w:r>
            <w:r w:rsidRPr="00667E5B">
              <w:rPr>
                <w:i/>
                <w:spacing w:val="-1"/>
              </w:rPr>
              <w:t>past</w:t>
            </w:r>
            <w:r w:rsidRPr="00667E5B">
              <w:rPr>
                <w:i/>
                <w:spacing w:val="17"/>
              </w:rPr>
              <w:t xml:space="preserve"> </w:t>
            </w:r>
            <w:r w:rsidRPr="00667E5B">
              <w:rPr>
                <w:i/>
                <w:spacing w:val="-1"/>
              </w:rPr>
              <w:t>three</w:t>
            </w:r>
            <w:r w:rsidRPr="00667E5B">
              <w:rPr>
                <w:i/>
                <w:spacing w:val="17"/>
              </w:rPr>
              <w:t xml:space="preserve"> </w:t>
            </w:r>
            <w:r w:rsidRPr="00667E5B">
              <w:rPr>
                <w:i/>
                <w:spacing w:val="-1"/>
              </w:rPr>
              <w:t>months</w:t>
            </w:r>
          </w:p>
        </w:tc>
      </w:tr>
      <w:tr w:rsidR="00062993" w:rsidTr="00062993">
        <w:tc>
          <w:tcPr>
            <w:tcW w:w="4839" w:type="dxa"/>
          </w:tcPr>
          <w:p w:rsidR="00062993" w:rsidRPr="00667E5B" w:rsidRDefault="006F0560" w:rsidP="006F0560">
            <w:pPr>
              <w:jc w:val="both"/>
              <w:rPr>
                <w:lang w:val="ka-GE"/>
              </w:rPr>
            </w:pPr>
            <w:r w:rsidRPr="006F0560">
              <w:rPr>
                <w:lang w:val="en-GB"/>
              </w:rPr>
              <w:t>Georgia has a specific allowance for internally displaced persons</w:t>
            </w:r>
            <w:r>
              <w:rPr>
                <w:lang w:val="en-GB"/>
              </w:rPr>
              <w:t>- If allowance is not regular, it should be excluded from the income indicators.</w:t>
            </w:r>
          </w:p>
        </w:tc>
        <w:tc>
          <w:tcPr>
            <w:tcW w:w="4840" w:type="dxa"/>
          </w:tcPr>
          <w:p w:rsidR="00062993" w:rsidRPr="00667E5B" w:rsidRDefault="006F0560" w:rsidP="006F0560">
            <w:pPr>
              <w:jc w:val="both"/>
            </w:pPr>
            <w:r>
              <w:rPr>
                <w:lang w:val="en-GB"/>
              </w:rPr>
              <w:t>A</w:t>
            </w:r>
            <w:r w:rsidRPr="006F0560">
              <w:rPr>
                <w:lang w:val="en-GB"/>
              </w:rPr>
              <w:t>llowance for internally displaced persons</w:t>
            </w:r>
            <w:r>
              <w:rPr>
                <w:lang w:val="en-GB"/>
              </w:rPr>
              <w:t xml:space="preserve"> is regular type contribution, which is country specific. Many household in Georgia are beneficiaries, hence mentioned category is not excluded from the calculation of income indicators.</w:t>
            </w:r>
          </w:p>
        </w:tc>
      </w:tr>
      <w:tr w:rsidR="006F0560" w:rsidTr="00DF06A6">
        <w:tc>
          <w:tcPr>
            <w:tcW w:w="9679" w:type="dxa"/>
            <w:gridSpan w:val="2"/>
          </w:tcPr>
          <w:p w:rsidR="006F0560" w:rsidRPr="006F0560" w:rsidRDefault="006F0560" w:rsidP="006F0560">
            <w:pPr>
              <w:jc w:val="both"/>
              <w:rPr>
                <w:b/>
                <w:i/>
                <w:u w:val="single"/>
                <w:lang w:val="ka-GE"/>
              </w:rPr>
            </w:pPr>
            <w:r w:rsidRPr="006F0560">
              <w:rPr>
                <w:b/>
                <w:i/>
                <w:u w:val="single"/>
                <w:lang w:val="ka-GE"/>
              </w:rPr>
              <w:t>Summary:</w:t>
            </w:r>
            <w:r w:rsidRPr="002B36B1">
              <w:rPr>
                <w:i/>
                <w:u w:val="single"/>
                <w:lang w:val="ka-GE"/>
              </w:rPr>
              <w:t xml:space="preserve"> </w:t>
            </w:r>
            <w:r w:rsidR="00E96D74" w:rsidRPr="002B36B1">
              <w:rPr>
                <w:i/>
                <w:u w:val="single"/>
                <w:lang w:val="ka-GE"/>
              </w:rPr>
              <w:t>Pensions, scholarships, insurance, assistance during the past three months</w:t>
            </w:r>
            <w:r w:rsidRPr="002B36B1">
              <w:rPr>
                <w:i/>
                <w:u w:val="single"/>
                <w:lang w:val="ka-GE"/>
              </w:rPr>
              <w:t xml:space="preserve"> – Changes was not made for calculation of income indicators.</w:t>
            </w:r>
          </w:p>
        </w:tc>
      </w:tr>
      <w:tr w:rsidR="006F0560" w:rsidTr="00DF06A6">
        <w:tc>
          <w:tcPr>
            <w:tcW w:w="9679" w:type="dxa"/>
            <w:gridSpan w:val="2"/>
          </w:tcPr>
          <w:p w:rsidR="006F0560" w:rsidRPr="006C5B1D" w:rsidRDefault="006F0560" w:rsidP="006F0560">
            <w:pPr>
              <w:jc w:val="both"/>
              <w:rPr>
                <w:b/>
                <w:i/>
                <w:u w:val="single"/>
              </w:rPr>
            </w:pPr>
          </w:p>
        </w:tc>
      </w:tr>
      <w:tr w:rsidR="006C5B1D" w:rsidTr="00DF06A6">
        <w:tc>
          <w:tcPr>
            <w:tcW w:w="9679" w:type="dxa"/>
            <w:gridSpan w:val="2"/>
          </w:tcPr>
          <w:p w:rsidR="006C5B1D" w:rsidRPr="006C5B1D" w:rsidRDefault="006C5B1D" w:rsidP="006F0560">
            <w:pPr>
              <w:jc w:val="both"/>
              <w:rPr>
                <w:b/>
                <w:i/>
                <w:u w:val="single"/>
              </w:rPr>
            </w:pPr>
            <w:r w:rsidRPr="00667E5B">
              <w:rPr>
                <w:b/>
                <w:i/>
                <w:spacing w:val="-1"/>
              </w:rPr>
              <w:t>Module:</w:t>
            </w:r>
            <w:r>
              <w:t xml:space="preserve"> </w:t>
            </w:r>
            <w:r w:rsidRPr="006C5B1D">
              <w:rPr>
                <w:i/>
                <w:spacing w:val="-1"/>
                <w:lang w:val="ka-GE"/>
              </w:rPr>
              <w:t>2.Incomes received as presents, assistance or free service</w:t>
            </w:r>
          </w:p>
        </w:tc>
      </w:tr>
      <w:tr w:rsidR="00062993" w:rsidTr="00062993">
        <w:tc>
          <w:tcPr>
            <w:tcW w:w="4839" w:type="dxa"/>
          </w:tcPr>
          <w:p w:rsidR="00062993" w:rsidRPr="00667E5B" w:rsidRDefault="00DE1858" w:rsidP="00DE1858">
            <w:pPr>
              <w:jc w:val="both"/>
              <w:rPr>
                <w:lang w:val="ka-GE"/>
              </w:rPr>
            </w:pPr>
            <w:r w:rsidRPr="00DE1858">
              <w:t>The Georgian HIES questionnaire contains a separate table for all possible gifts</w:t>
            </w:r>
            <w:r>
              <w:t xml:space="preserve">, </w:t>
            </w:r>
            <w:r w:rsidRPr="00DE1858">
              <w:t>Irregular gifts are not included in the i</w:t>
            </w:r>
            <w:r>
              <w:t xml:space="preserve">ncome definition </w:t>
            </w:r>
            <w:r w:rsidRPr="00DE1858">
              <w:t>for the EU income based indicators</w:t>
            </w:r>
          </w:p>
        </w:tc>
        <w:tc>
          <w:tcPr>
            <w:tcW w:w="4840" w:type="dxa"/>
          </w:tcPr>
          <w:p w:rsidR="00062993" w:rsidRPr="00667E5B" w:rsidRDefault="00E96D74" w:rsidP="00E96D74">
            <w:pPr>
              <w:jc w:val="both"/>
              <w:rPr>
                <w:lang w:val="ka-GE"/>
              </w:rPr>
            </w:pPr>
            <w:r>
              <w:t>A</w:t>
            </w:r>
            <w:r w:rsidR="00DE1858" w:rsidRPr="00DE1858">
              <w:t xml:space="preserve">ll possible </w:t>
            </w:r>
            <w:r w:rsidR="00DE1858">
              <w:t xml:space="preserve">irregular </w:t>
            </w:r>
            <w:r w:rsidR="00DE1858" w:rsidRPr="00DE1858">
              <w:t>gifts</w:t>
            </w:r>
            <w:r w:rsidR="00DE1858">
              <w:t xml:space="preserve"> were excluded from the calculation of income indicators.</w:t>
            </w:r>
          </w:p>
        </w:tc>
      </w:tr>
      <w:tr w:rsidR="00DE1858" w:rsidTr="00062993">
        <w:tc>
          <w:tcPr>
            <w:tcW w:w="4839" w:type="dxa"/>
          </w:tcPr>
          <w:p w:rsidR="00DE1858" w:rsidRPr="00DE1858" w:rsidRDefault="00DE1858" w:rsidP="00DE1858">
            <w:pPr>
              <w:jc w:val="both"/>
            </w:pPr>
            <w:r w:rsidRPr="00DE1858">
              <w:t xml:space="preserve">The national instrument of </w:t>
            </w:r>
            <w:r w:rsidRPr="00DE1858">
              <w:rPr>
                <w:u w:val="single"/>
              </w:rPr>
              <w:t>Educational grant</w:t>
            </w:r>
            <w:r w:rsidRPr="00DE1858">
              <w:t xml:space="preserve"> from the state is covered in the </w:t>
            </w:r>
            <w:r w:rsidRPr="00DE1858">
              <w:rPr>
                <w:lang w:val="cs-CZ"/>
              </w:rPr>
              <w:t xml:space="preserve">HIES </w:t>
            </w:r>
            <w:r w:rsidRPr="00DE1858">
              <w:t>questionnaire</w:t>
            </w:r>
            <w:r>
              <w:t xml:space="preserve">, </w:t>
            </w:r>
            <w:r w:rsidRPr="00DE1858">
              <w:t xml:space="preserve">Irregular </w:t>
            </w:r>
            <w:r>
              <w:t>grants</w:t>
            </w:r>
            <w:r w:rsidRPr="00DE1858">
              <w:t xml:space="preserve"> are not included in the i</w:t>
            </w:r>
            <w:r>
              <w:t xml:space="preserve">ncome definition </w:t>
            </w:r>
            <w:r w:rsidRPr="00DE1858">
              <w:t>for the EU income based indicators</w:t>
            </w:r>
          </w:p>
        </w:tc>
        <w:tc>
          <w:tcPr>
            <w:tcW w:w="4840" w:type="dxa"/>
          </w:tcPr>
          <w:p w:rsidR="00DE1858" w:rsidRPr="00DE1858" w:rsidRDefault="00DE1858" w:rsidP="00DE1858">
            <w:pPr>
              <w:jc w:val="both"/>
            </w:pPr>
            <w:r w:rsidRPr="00DE1858">
              <w:rPr>
                <w:lang w:val="ka-GE"/>
              </w:rPr>
              <w:t>Payment of tuition fee</w:t>
            </w:r>
            <w:r>
              <w:t xml:space="preserve"> is</w:t>
            </w:r>
            <w:r w:rsidRPr="00DE1858">
              <w:t xml:space="preserve"> </w:t>
            </w:r>
            <w:r>
              <w:t>r</w:t>
            </w:r>
            <w:r w:rsidRPr="00DE1858">
              <w:t xml:space="preserve">egular contribution by government. </w:t>
            </w:r>
            <w:proofErr w:type="gramStart"/>
            <w:r w:rsidRPr="00DE1858">
              <w:t>Part of student are</w:t>
            </w:r>
            <w:proofErr w:type="gramEnd"/>
            <w:r w:rsidRPr="00DE1858">
              <w:t xml:space="preserve"> beneficiaries for entire period of studying</w:t>
            </w:r>
            <w:r>
              <w:t>. Mentioned category w</w:t>
            </w:r>
            <w:r w:rsidRPr="00DE1858">
              <w:rPr>
                <w:lang w:val="en-GB"/>
              </w:rPr>
              <w:t>as not excluded from calculation</w:t>
            </w:r>
            <w:r>
              <w:rPr>
                <w:lang w:val="en-GB"/>
              </w:rPr>
              <w:t xml:space="preserve"> of income indicators.</w:t>
            </w:r>
          </w:p>
        </w:tc>
      </w:tr>
      <w:tr w:rsidR="00DE1858" w:rsidTr="00986537">
        <w:tc>
          <w:tcPr>
            <w:tcW w:w="9679" w:type="dxa"/>
            <w:gridSpan w:val="2"/>
          </w:tcPr>
          <w:p w:rsidR="00DE1858" w:rsidRPr="00E96D74" w:rsidRDefault="00DE1858" w:rsidP="00B802B8">
            <w:pPr>
              <w:jc w:val="both"/>
            </w:pPr>
            <w:r w:rsidRPr="006F0560">
              <w:rPr>
                <w:b/>
                <w:i/>
                <w:u w:val="single"/>
                <w:lang w:val="ka-GE"/>
              </w:rPr>
              <w:t xml:space="preserve">Summary: </w:t>
            </w:r>
            <w:r w:rsidR="00E96D74" w:rsidRPr="002B36B1">
              <w:rPr>
                <w:i/>
                <w:iCs/>
                <w:u w:val="single"/>
                <w:lang w:val="en-GB"/>
              </w:rPr>
              <w:t>All catego</w:t>
            </w:r>
            <w:r w:rsidR="004936EB">
              <w:rPr>
                <w:i/>
                <w:iCs/>
                <w:u w:val="single"/>
                <w:lang w:val="en-GB"/>
              </w:rPr>
              <w:t xml:space="preserve">ries (gifts, assistance and </w:t>
            </w:r>
            <w:proofErr w:type="spellStart"/>
            <w:r w:rsidR="004936EB">
              <w:rPr>
                <w:i/>
                <w:iCs/>
                <w:u w:val="single"/>
                <w:lang w:val="en-GB"/>
              </w:rPr>
              <w:t>etc</w:t>
            </w:r>
            <w:proofErr w:type="spellEnd"/>
            <w:r w:rsidR="00E96D74" w:rsidRPr="002B36B1">
              <w:rPr>
                <w:i/>
                <w:iCs/>
                <w:u w:val="single"/>
                <w:lang w:val="en-GB"/>
              </w:rPr>
              <w:t>) except “payment of tuition fee” were excluded as for irregular type of frequency</w:t>
            </w:r>
            <w:r w:rsidRPr="002B36B1">
              <w:rPr>
                <w:i/>
                <w:u w:val="single"/>
                <w:lang w:val="ka-GE"/>
              </w:rPr>
              <w:t xml:space="preserve"> for calculation of income indicators.</w:t>
            </w:r>
          </w:p>
        </w:tc>
      </w:tr>
      <w:tr w:rsidR="00E96D74" w:rsidTr="00046965">
        <w:tc>
          <w:tcPr>
            <w:tcW w:w="9679" w:type="dxa"/>
            <w:gridSpan w:val="2"/>
          </w:tcPr>
          <w:p w:rsidR="00E96D74" w:rsidRPr="00667E5B" w:rsidRDefault="00E96D74">
            <w:pPr>
              <w:rPr>
                <w:lang w:val="ka-GE"/>
              </w:rPr>
            </w:pPr>
          </w:p>
        </w:tc>
      </w:tr>
      <w:tr w:rsidR="00AB1A0D" w:rsidTr="00716FE8">
        <w:tc>
          <w:tcPr>
            <w:tcW w:w="9679" w:type="dxa"/>
            <w:gridSpan w:val="2"/>
          </w:tcPr>
          <w:p w:rsidR="00AB1A0D" w:rsidRPr="00667E5B" w:rsidRDefault="00AB1A0D">
            <w:pPr>
              <w:rPr>
                <w:lang w:val="ka-GE"/>
              </w:rPr>
            </w:pPr>
            <w:r w:rsidRPr="00667E5B">
              <w:rPr>
                <w:b/>
                <w:i/>
                <w:spacing w:val="-1"/>
              </w:rPr>
              <w:t>Module:</w:t>
            </w:r>
            <w:r>
              <w:t xml:space="preserve"> </w:t>
            </w:r>
            <w:r w:rsidRPr="00AB1A0D">
              <w:rPr>
                <w:i/>
                <w:spacing w:val="-1"/>
              </w:rPr>
              <w:t>3.Other incomes of household</w:t>
            </w:r>
          </w:p>
        </w:tc>
      </w:tr>
      <w:tr w:rsidR="00062993" w:rsidTr="00062993">
        <w:tc>
          <w:tcPr>
            <w:tcW w:w="4839" w:type="dxa"/>
          </w:tcPr>
          <w:p w:rsidR="00062993" w:rsidRPr="00667E5B" w:rsidRDefault="00022B25" w:rsidP="007A1D73">
            <w:pPr>
              <w:jc w:val="both"/>
            </w:pPr>
            <w:r w:rsidRPr="00667E5B">
              <w:rPr>
                <w:lang w:val="ka-GE"/>
              </w:rPr>
              <w:t>Funding from a donor could correspond to the intra-household transfers received (other than alimonies)</w:t>
            </w:r>
            <w:r w:rsidR="007A1D73">
              <w:t xml:space="preserve"> as for they are irregular type should be excluded.</w:t>
            </w:r>
          </w:p>
        </w:tc>
        <w:tc>
          <w:tcPr>
            <w:tcW w:w="4840" w:type="dxa"/>
          </w:tcPr>
          <w:p w:rsidR="00062993" w:rsidRPr="007A1D73" w:rsidRDefault="007A1D73" w:rsidP="007A1D73">
            <w:pPr>
              <w:jc w:val="both"/>
            </w:pPr>
            <w:r>
              <w:t xml:space="preserve">Since there </w:t>
            </w:r>
            <w:proofErr w:type="gramStart"/>
            <w:r>
              <w:t>are regular type</w:t>
            </w:r>
            <w:proofErr w:type="gramEnd"/>
            <w:r>
              <w:t xml:space="preserve"> </w:t>
            </w:r>
            <w:proofErr w:type="spellStart"/>
            <w:r>
              <w:t>scintific</w:t>
            </w:r>
            <w:proofErr w:type="spellEnd"/>
            <w:r>
              <w:t xml:space="preserve"> grants from the donor organizations and government, mentioned income categories are included in calculation of income indicators.</w:t>
            </w:r>
          </w:p>
        </w:tc>
      </w:tr>
      <w:tr w:rsidR="00062993" w:rsidTr="00062993">
        <w:tc>
          <w:tcPr>
            <w:tcW w:w="4839" w:type="dxa"/>
          </w:tcPr>
          <w:p w:rsidR="00062993" w:rsidRPr="007A1D73" w:rsidRDefault="00022B25" w:rsidP="007A1D73">
            <w:pPr>
              <w:jc w:val="both"/>
              <w:rPr>
                <w:lang w:val="ka-GE"/>
              </w:rPr>
            </w:pPr>
            <w:r w:rsidRPr="00022B25">
              <w:t>One-off transfers (cash / non-cash inheritances, financial gifts, lottery winnings) are not included in the EU income definition</w:t>
            </w:r>
            <w:r w:rsidR="007A1D73">
              <w:rPr>
                <w:lang w:val="ka-GE"/>
              </w:rPr>
              <w:t xml:space="preserve">. </w:t>
            </w:r>
            <w:r w:rsidR="007A1D73" w:rsidRPr="00022B25">
              <w:t>The income from betting, if regular, could be considered as</w:t>
            </w:r>
            <w:r w:rsidR="007A1D73" w:rsidRPr="00022B25">
              <w:rPr>
                <w:lang w:val="cs-CZ"/>
              </w:rPr>
              <w:t xml:space="preserve">  q</w:t>
            </w:r>
            <w:proofErr w:type="spellStart"/>
            <w:r w:rsidR="007A1D73" w:rsidRPr="00022B25">
              <w:t>uasi</w:t>
            </w:r>
            <w:proofErr w:type="spellEnd"/>
            <w:r w:rsidR="007A1D73" w:rsidRPr="00022B25">
              <w:t>-self-employment income</w:t>
            </w:r>
          </w:p>
        </w:tc>
        <w:tc>
          <w:tcPr>
            <w:tcW w:w="4840" w:type="dxa"/>
          </w:tcPr>
          <w:p w:rsidR="00062993" w:rsidRPr="007A1D73" w:rsidRDefault="007A1D73" w:rsidP="007A1D73">
            <w:pPr>
              <w:jc w:val="both"/>
            </w:pPr>
            <w:proofErr w:type="spellStart"/>
            <w:r>
              <w:t>Cateogry</w:t>
            </w:r>
            <w:proofErr w:type="spellEnd"/>
            <w:r>
              <w:t xml:space="preserve"> “other” was excluded from the calculation as for it includes lottery winnings, income from betting and etc.</w:t>
            </w:r>
          </w:p>
        </w:tc>
      </w:tr>
      <w:tr w:rsidR="007A1D73" w:rsidTr="00F02338">
        <w:tc>
          <w:tcPr>
            <w:tcW w:w="9679" w:type="dxa"/>
            <w:gridSpan w:val="2"/>
          </w:tcPr>
          <w:p w:rsidR="007A1D73" w:rsidRPr="007A1D73" w:rsidRDefault="007A1D73" w:rsidP="00B802B8">
            <w:r w:rsidRPr="006F0560">
              <w:rPr>
                <w:b/>
                <w:i/>
                <w:u w:val="single"/>
                <w:lang w:val="ka-GE"/>
              </w:rPr>
              <w:t xml:space="preserve">Summary: </w:t>
            </w:r>
            <w:r w:rsidRPr="007A1D73">
              <w:rPr>
                <w:i/>
                <w:iCs/>
                <w:u w:val="single"/>
                <w:lang w:val="en-GB"/>
              </w:rPr>
              <w:t>All categories except “Inherited money“ and “Other income” Are included in calculation</w:t>
            </w:r>
            <w:r w:rsidR="00B802B8">
              <w:rPr>
                <w:i/>
                <w:iCs/>
                <w:u w:val="single"/>
                <w:lang w:val="en-GB"/>
              </w:rPr>
              <w:t>.</w:t>
            </w:r>
            <w:r w:rsidR="00B802B8" w:rsidRPr="007A1D73">
              <w:t xml:space="preserve"> </w:t>
            </w:r>
          </w:p>
        </w:tc>
      </w:tr>
      <w:tr w:rsidR="00B802B8" w:rsidTr="00EF6684">
        <w:tc>
          <w:tcPr>
            <w:tcW w:w="9679" w:type="dxa"/>
            <w:gridSpan w:val="2"/>
          </w:tcPr>
          <w:p w:rsidR="00B802B8" w:rsidRDefault="00B802B8" w:rsidP="007A1D73">
            <w:pPr>
              <w:jc w:val="both"/>
            </w:pPr>
          </w:p>
        </w:tc>
      </w:tr>
      <w:tr w:rsidR="00B802B8" w:rsidTr="00EF6684">
        <w:tc>
          <w:tcPr>
            <w:tcW w:w="9679" w:type="dxa"/>
            <w:gridSpan w:val="2"/>
          </w:tcPr>
          <w:p w:rsidR="00B802B8" w:rsidRDefault="00B802B8" w:rsidP="007A1D73">
            <w:pPr>
              <w:jc w:val="both"/>
            </w:pPr>
            <w:r w:rsidRPr="00474561">
              <w:rPr>
                <w:b/>
                <w:i/>
                <w:spacing w:val="-1"/>
              </w:rPr>
              <w:t>Module:</w:t>
            </w:r>
            <w:r>
              <w:rPr>
                <w:i/>
                <w:spacing w:val="-1"/>
              </w:rPr>
              <w:t xml:space="preserve"> </w:t>
            </w:r>
            <w:r w:rsidRPr="00B802B8">
              <w:rPr>
                <w:i/>
                <w:spacing w:val="-1"/>
                <w:lang w:val="ka-GE"/>
              </w:rPr>
              <w:t>Part II. 1. Changes in financial state of the household during the past three months</w:t>
            </w:r>
          </w:p>
        </w:tc>
      </w:tr>
      <w:tr w:rsidR="00474561" w:rsidTr="00474561">
        <w:tc>
          <w:tcPr>
            <w:tcW w:w="4839" w:type="dxa"/>
          </w:tcPr>
          <w:p w:rsidR="00474561" w:rsidRPr="00022B25" w:rsidRDefault="00474561" w:rsidP="004B7609">
            <w:pPr>
              <w:jc w:val="both"/>
            </w:pPr>
            <w:r w:rsidRPr="00022B25">
              <w:t xml:space="preserve">EU-SILC as such does </w:t>
            </w:r>
            <w:r>
              <w:t xml:space="preserve">not collect any amount received </w:t>
            </w:r>
            <w:r w:rsidRPr="00022B25">
              <w:t xml:space="preserve">by the household from </w:t>
            </w:r>
            <w:r w:rsidRPr="00022B25">
              <w:rPr>
                <w:u w:val="single"/>
              </w:rPr>
              <w:t>old arrears</w:t>
            </w:r>
            <w:r w:rsidRPr="00022B25">
              <w:t xml:space="preserve"> (outstanding salary, pension, scholarship, stopped social assistance etc.)</w:t>
            </w:r>
            <w:r>
              <w:t xml:space="preserve"> </w:t>
            </w:r>
            <w:r w:rsidRPr="00022B25">
              <w:t>expected to be paid</w:t>
            </w:r>
          </w:p>
        </w:tc>
        <w:tc>
          <w:tcPr>
            <w:tcW w:w="4840" w:type="dxa"/>
            <w:vMerge w:val="restart"/>
            <w:vAlign w:val="center"/>
          </w:tcPr>
          <w:p w:rsidR="00474561" w:rsidRPr="00474561" w:rsidRDefault="00474561" w:rsidP="004B7609">
            <w:pPr>
              <w:jc w:val="both"/>
            </w:pPr>
            <w:r>
              <w:t>Whole module was excluded from the calculation</w:t>
            </w:r>
          </w:p>
        </w:tc>
      </w:tr>
      <w:tr w:rsidR="00474561" w:rsidTr="00062993">
        <w:tc>
          <w:tcPr>
            <w:tcW w:w="4839" w:type="dxa"/>
          </w:tcPr>
          <w:p w:rsidR="00474561" w:rsidRPr="00022B25" w:rsidRDefault="00474561" w:rsidP="004B7609">
            <w:pPr>
              <w:jc w:val="both"/>
            </w:pPr>
            <w:r w:rsidRPr="00474561">
              <w:rPr>
                <w:lang w:val="en-GB"/>
              </w:rPr>
              <w:t xml:space="preserve">EU-SILC </w:t>
            </w:r>
            <w:r w:rsidRPr="00474561">
              <w:rPr>
                <w:u w:val="single"/>
                <w:lang w:val="en-GB"/>
              </w:rPr>
              <w:t>does not cover</w:t>
            </w:r>
            <w:r w:rsidRPr="00474561">
              <w:rPr>
                <w:lang w:val="en-GB"/>
              </w:rPr>
              <w:t xml:space="preserve"> any amount from existing </w:t>
            </w:r>
            <w:r w:rsidRPr="00474561">
              <w:rPr>
                <w:u w:val="single"/>
                <w:lang w:val="en-GB"/>
              </w:rPr>
              <w:t>savings</w:t>
            </w:r>
            <w:r w:rsidRPr="00474561">
              <w:rPr>
                <w:lang w:val="en-GB"/>
              </w:rPr>
              <w:t xml:space="preserve">.   The money kept on the household bank </w:t>
            </w:r>
            <w:r w:rsidRPr="00474561">
              <w:rPr>
                <w:lang w:val="en-GB"/>
              </w:rPr>
              <w:lastRenderedPageBreak/>
              <w:t>accounts or deposit accounts are not part of the regular data collection</w:t>
            </w:r>
          </w:p>
        </w:tc>
        <w:tc>
          <w:tcPr>
            <w:tcW w:w="4840" w:type="dxa"/>
            <w:vMerge/>
          </w:tcPr>
          <w:p w:rsidR="00474561" w:rsidRDefault="00474561">
            <w:pPr>
              <w:rPr>
                <w:lang w:val="ka-GE"/>
              </w:rPr>
            </w:pPr>
          </w:p>
        </w:tc>
      </w:tr>
      <w:tr w:rsidR="00474561" w:rsidTr="001B4787">
        <w:tc>
          <w:tcPr>
            <w:tcW w:w="9679" w:type="dxa"/>
            <w:gridSpan w:val="2"/>
          </w:tcPr>
          <w:p w:rsidR="00474561" w:rsidRPr="00474561" w:rsidRDefault="00474561">
            <w:r w:rsidRPr="006F0560">
              <w:rPr>
                <w:b/>
                <w:i/>
                <w:u w:val="single"/>
                <w:lang w:val="ka-GE"/>
              </w:rPr>
              <w:lastRenderedPageBreak/>
              <w:t>Summary:</w:t>
            </w:r>
            <w:r>
              <w:rPr>
                <w:b/>
                <w:i/>
                <w:u w:val="single"/>
              </w:rPr>
              <w:t xml:space="preserve"> </w:t>
            </w:r>
            <w:r w:rsidRPr="00474561">
              <w:rPr>
                <w:i/>
                <w:iCs/>
                <w:u w:val="single"/>
                <w:lang w:val="en-GB"/>
              </w:rPr>
              <w:t>Whole module was excluded from the calculation</w:t>
            </w:r>
            <w:r>
              <w:rPr>
                <w:i/>
                <w:iCs/>
                <w:u w:val="single"/>
                <w:lang w:val="en-GB"/>
              </w:rPr>
              <w:t xml:space="preserve"> of income indicators.</w:t>
            </w:r>
          </w:p>
        </w:tc>
      </w:tr>
      <w:tr w:rsidR="00474561" w:rsidTr="00A42369">
        <w:tc>
          <w:tcPr>
            <w:tcW w:w="9679" w:type="dxa"/>
            <w:gridSpan w:val="2"/>
          </w:tcPr>
          <w:p w:rsidR="00474561" w:rsidRDefault="00474561">
            <w:pPr>
              <w:rPr>
                <w:lang w:val="ka-GE"/>
              </w:rPr>
            </w:pPr>
          </w:p>
        </w:tc>
      </w:tr>
      <w:tr w:rsidR="00474561" w:rsidTr="00CA0B2B">
        <w:tc>
          <w:tcPr>
            <w:tcW w:w="9679" w:type="dxa"/>
            <w:gridSpan w:val="2"/>
          </w:tcPr>
          <w:p w:rsidR="00474561" w:rsidRPr="00474561" w:rsidRDefault="00474561">
            <w:r w:rsidRPr="00474561">
              <w:rPr>
                <w:b/>
                <w:i/>
                <w:spacing w:val="-1"/>
              </w:rPr>
              <w:t>Module:</w:t>
            </w:r>
            <w:r>
              <w:t xml:space="preserve"> </w:t>
            </w:r>
            <w:r w:rsidRPr="004B7609">
              <w:rPr>
                <w:i/>
                <w:spacing w:val="-1"/>
              </w:rPr>
              <w:t>2.Selling / Purchasing of property during the past three months</w:t>
            </w:r>
          </w:p>
        </w:tc>
      </w:tr>
      <w:tr w:rsidR="00B802B8" w:rsidTr="00B635BA">
        <w:tc>
          <w:tcPr>
            <w:tcW w:w="4839" w:type="dxa"/>
          </w:tcPr>
          <w:p w:rsidR="00B802B8" w:rsidRPr="00022B25" w:rsidRDefault="00B635BA" w:rsidP="00B635BA">
            <w:pPr>
              <w:jc w:val="both"/>
            </w:pPr>
            <w:r w:rsidRPr="00B635BA">
              <w:rPr>
                <w:lang w:val="en-GB"/>
              </w:rPr>
              <w:t xml:space="preserve">According to the EU-SILC methodology, the total disposable household income </w:t>
            </w:r>
            <w:r w:rsidRPr="00B635BA">
              <w:rPr>
                <w:u w:val="single"/>
                <w:lang w:val="en-GB"/>
              </w:rPr>
              <w:t>does not include</w:t>
            </w:r>
            <w:r w:rsidRPr="00B635BA">
              <w:rPr>
                <w:lang w:val="en-GB"/>
              </w:rPr>
              <w:t xml:space="preserve"> any income from </w:t>
            </w:r>
            <w:r w:rsidRPr="00B635BA">
              <w:rPr>
                <w:u w:val="single"/>
                <w:lang w:val="en-GB"/>
              </w:rPr>
              <w:t>the sale</w:t>
            </w:r>
            <w:r w:rsidRPr="00B635BA">
              <w:rPr>
                <w:lang w:val="en-GB"/>
              </w:rPr>
              <w:t xml:space="preserve">  of real estates (i.e. land, fields, buildi</w:t>
            </w:r>
            <w:r>
              <w:rPr>
                <w:lang w:val="en-GB"/>
              </w:rPr>
              <w:t xml:space="preserve">ngs, flats, garages) </w:t>
            </w:r>
            <w:r w:rsidRPr="00B635BA">
              <w:rPr>
                <w:lang w:val="en-GB"/>
              </w:rPr>
              <w:t>nor any income from the sale of a car or other movable property, these being eventually part of the wealth / assets balance</w:t>
            </w:r>
          </w:p>
        </w:tc>
        <w:tc>
          <w:tcPr>
            <w:tcW w:w="4840" w:type="dxa"/>
            <w:vAlign w:val="center"/>
          </w:tcPr>
          <w:p w:rsidR="00B802B8" w:rsidRDefault="00B635BA" w:rsidP="00B635BA">
            <w:pPr>
              <w:jc w:val="center"/>
              <w:rPr>
                <w:lang w:val="ka-GE"/>
              </w:rPr>
            </w:pPr>
            <w:r>
              <w:t>Whole module was excluded from the calculation</w:t>
            </w:r>
          </w:p>
        </w:tc>
      </w:tr>
      <w:tr w:rsidR="00B635BA" w:rsidTr="001A6D55">
        <w:tc>
          <w:tcPr>
            <w:tcW w:w="9679" w:type="dxa"/>
            <w:gridSpan w:val="2"/>
          </w:tcPr>
          <w:p w:rsidR="00B635BA" w:rsidRDefault="00B635BA" w:rsidP="00B635BA">
            <w:pPr>
              <w:tabs>
                <w:tab w:val="left" w:pos="3179"/>
              </w:tabs>
              <w:rPr>
                <w:lang w:val="ka-GE"/>
              </w:rPr>
            </w:pPr>
            <w:r w:rsidRPr="006F0560">
              <w:rPr>
                <w:b/>
                <w:i/>
                <w:u w:val="single"/>
                <w:lang w:val="ka-GE"/>
              </w:rPr>
              <w:t>Summary:</w:t>
            </w:r>
            <w:r>
              <w:rPr>
                <w:b/>
                <w:i/>
                <w:u w:val="single"/>
              </w:rPr>
              <w:t xml:space="preserve"> </w:t>
            </w:r>
            <w:r w:rsidRPr="00474561">
              <w:rPr>
                <w:i/>
                <w:iCs/>
                <w:u w:val="single"/>
                <w:lang w:val="en-GB"/>
              </w:rPr>
              <w:t>Whole module was excluded from the calculation</w:t>
            </w:r>
            <w:r>
              <w:rPr>
                <w:i/>
                <w:iCs/>
                <w:u w:val="single"/>
                <w:lang w:val="en-GB"/>
              </w:rPr>
              <w:t xml:space="preserve"> of income indicators.</w:t>
            </w:r>
          </w:p>
        </w:tc>
      </w:tr>
      <w:tr w:rsidR="00B802B8" w:rsidTr="00062993">
        <w:tc>
          <w:tcPr>
            <w:tcW w:w="4839" w:type="dxa"/>
          </w:tcPr>
          <w:p w:rsidR="00B802B8" w:rsidRPr="00B57BE6" w:rsidRDefault="00B802B8">
            <w:pPr>
              <w:rPr>
                <w:lang w:val="ka-GE"/>
              </w:rPr>
            </w:pPr>
          </w:p>
        </w:tc>
        <w:tc>
          <w:tcPr>
            <w:tcW w:w="4840" w:type="dxa"/>
          </w:tcPr>
          <w:p w:rsidR="00B802B8" w:rsidRDefault="00B802B8">
            <w:pPr>
              <w:rPr>
                <w:lang w:val="ka-GE"/>
              </w:rPr>
            </w:pPr>
          </w:p>
        </w:tc>
      </w:tr>
      <w:tr w:rsidR="00B57BE6" w:rsidTr="00FA1B42">
        <w:tc>
          <w:tcPr>
            <w:tcW w:w="9679" w:type="dxa"/>
            <w:gridSpan w:val="2"/>
          </w:tcPr>
          <w:p w:rsidR="00B57BE6" w:rsidRDefault="00B57BE6">
            <w:pPr>
              <w:rPr>
                <w:lang w:val="ka-GE"/>
              </w:rPr>
            </w:pPr>
            <w:r w:rsidRPr="00474561">
              <w:rPr>
                <w:b/>
                <w:i/>
                <w:spacing w:val="-1"/>
              </w:rPr>
              <w:t>Module:</w:t>
            </w:r>
            <w:r w:rsidRPr="00B57BE6">
              <w:rPr>
                <w:i/>
                <w:spacing w:val="-1"/>
              </w:rPr>
              <w:t xml:space="preserve"> 3. Other changes in property state during the past three months</w:t>
            </w:r>
          </w:p>
        </w:tc>
      </w:tr>
      <w:tr w:rsidR="00B802B8" w:rsidTr="00324299">
        <w:tc>
          <w:tcPr>
            <w:tcW w:w="4839" w:type="dxa"/>
          </w:tcPr>
          <w:p w:rsidR="00B802B8" w:rsidRPr="00324299" w:rsidRDefault="00324299" w:rsidP="00324299">
            <w:pPr>
              <w:jc w:val="both"/>
              <w:rPr>
                <w:lang w:val="ka-GE"/>
              </w:rPr>
            </w:pPr>
            <w:r w:rsidRPr="00324299">
              <w:t>The aim is to find out whether the household (or one of the members) has received real estate or expensive durables in the form of inheritance or a gift during the last three months.</w:t>
            </w:r>
            <w:r>
              <w:rPr>
                <w:lang w:val="ka-GE"/>
              </w:rPr>
              <w:t xml:space="preserve"> </w:t>
            </w:r>
            <w:r w:rsidRPr="00324299">
              <w:rPr>
                <w:lang w:val="ka-GE"/>
              </w:rPr>
              <w:t>According to the EU-SILC definition this is NOT considered     as income component. These are considered as the capital transfers, affecting assets of the household, but not its disposable income at the time of their receiving.</w:t>
            </w:r>
          </w:p>
        </w:tc>
        <w:tc>
          <w:tcPr>
            <w:tcW w:w="4840" w:type="dxa"/>
            <w:vAlign w:val="center"/>
          </w:tcPr>
          <w:p w:rsidR="00B802B8" w:rsidRDefault="00324299" w:rsidP="00324299">
            <w:pPr>
              <w:jc w:val="both"/>
              <w:rPr>
                <w:lang w:val="ka-GE"/>
              </w:rPr>
            </w:pPr>
            <w:r>
              <w:t>Whole module was excluded from the calculation</w:t>
            </w:r>
          </w:p>
        </w:tc>
      </w:tr>
      <w:tr w:rsidR="00324299" w:rsidTr="006D742C">
        <w:tc>
          <w:tcPr>
            <w:tcW w:w="9679" w:type="dxa"/>
            <w:gridSpan w:val="2"/>
          </w:tcPr>
          <w:p w:rsidR="00324299" w:rsidRDefault="00324299">
            <w:pPr>
              <w:rPr>
                <w:lang w:val="ka-GE"/>
              </w:rPr>
            </w:pPr>
            <w:r w:rsidRPr="006F0560">
              <w:rPr>
                <w:b/>
                <w:i/>
                <w:u w:val="single"/>
                <w:lang w:val="ka-GE"/>
              </w:rPr>
              <w:t>Summary:</w:t>
            </w:r>
            <w:r>
              <w:rPr>
                <w:b/>
                <w:i/>
                <w:u w:val="single"/>
              </w:rPr>
              <w:t xml:space="preserve"> </w:t>
            </w:r>
            <w:r w:rsidRPr="00474561">
              <w:rPr>
                <w:i/>
                <w:iCs/>
                <w:u w:val="single"/>
                <w:lang w:val="en-GB"/>
              </w:rPr>
              <w:t>Whole module was excluded from the calculation</w:t>
            </w:r>
            <w:r>
              <w:rPr>
                <w:i/>
                <w:iCs/>
                <w:u w:val="single"/>
                <w:lang w:val="en-GB"/>
              </w:rPr>
              <w:t xml:space="preserve"> of income indicators.</w:t>
            </w:r>
          </w:p>
        </w:tc>
      </w:tr>
      <w:tr w:rsidR="00022B25" w:rsidTr="00062993">
        <w:tc>
          <w:tcPr>
            <w:tcW w:w="4839" w:type="dxa"/>
          </w:tcPr>
          <w:p w:rsidR="00022B25" w:rsidRPr="00022B25" w:rsidRDefault="00022B25"/>
        </w:tc>
        <w:tc>
          <w:tcPr>
            <w:tcW w:w="4840" w:type="dxa"/>
          </w:tcPr>
          <w:p w:rsidR="00022B25" w:rsidRDefault="00022B25">
            <w:pPr>
              <w:rPr>
                <w:lang w:val="ka-GE"/>
              </w:rPr>
            </w:pPr>
          </w:p>
        </w:tc>
      </w:tr>
      <w:tr w:rsidR="008B5508" w:rsidTr="001F5F24">
        <w:tc>
          <w:tcPr>
            <w:tcW w:w="9679" w:type="dxa"/>
            <w:gridSpan w:val="2"/>
          </w:tcPr>
          <w:p w:rsidR="008B5508" w:rsidRPr="00022B25" w:rsidRDefault="008B5508" w:rsidP="008B5508">
            <w:r w:rsidRPr="00474561">
              <w:rPr>
                <w:b/>
                <w:i/>
                <w:spacing w:val="-1"/>
              </w:rPr>
              <w:t>Module:</w:t>
            </w:r>
            <w:r w:rsidRPr="00B57BE6">
              <w:rPr>
                <w:i/>
                <w:spacing w:val="-1"/>
              </w:rPr>
              <w:t xml:space="preserve"> </w:t>
            </w:r>
            <w:r>
              <w:rPr>
                <w:i/>
                <w:spacing w:val="-1"/>
                <w:lang w:val="ka-GE"/>
              </w:rPr>
              <w:t>4</w:t>
            </w:r>
            <w:r w:rsidRPr="00B57BE6">
              <w:rPr>
                <w:i/>
                <w:spacing w:val="-1"/>
              </w:rPr>
              <w:t>.</w:t>
            </w:r>
            <w:r>
              <w:t xml:space="preserve"> </w:t>
            </w:r>
            <w:r w:rsidRPr="008B5508">
              <w:rPr>
                <w:i/>
                <w:spacing w:val="-1"/>
              </w:rPr>
              <w:t>Parcels received/sent from/to persons who left the household (temporary or constantly)</w:t>
            </w:r>
          </w:p>
        </w:tc>
      </w:tr>
      <w:tr w:rsidR="00107274" w:rsidTr="001354F7">
        <w:tc>
          <w:tcPr>
            <w:tcW w:w="9679" w:type="dxa"/>
            <w:gridSpan w:val="2"/>
          </w:tcPr>
          <w:p w:rsidR="00107274" w:rsidRPr="00022B25" w:rsidRDefault="00107274" w:rsidP="00107274">
            <w:r w:rsidRPr="006F0560">
              <w:rPr>
                <w:b/>
                <w:i/>
                <w:u w:val="single"/>
                <w:lang w:val="ka-GE"/>
              </w:rPr>
              <w:t>Summary:</w:t>
            </w:r>
            <w:r w:rsidRPr="002B36B1">
              <w:rPr>
                <w:i/>
                <w:u w:val="single"/>
                <w:lang w:val="ka-GE"/>
              </w:rPr>
              <w:t xml:space="preserve"> Changes was not made for calculation of income indicators.</w:t>
            </w:r>
          </w:p>
        </w:tc>
      </w:tr>
      <w:tr w:rsidR="00107274" w:rsidTr="00060972">
        <w:tc>
          <w:tcPr>
            <w:tcW w:w="9679" w:type="dxa"/>
            <w:gridSpan w:val="2"/>
          </w:tcPr>
          <w:p w:rsidR="00107274" w:rsidRPr="00022B25" w:rsidRDefault="00107274"/>
        </w:tc>
      </w:tr>
      <w:tr w:rsidR="00107274" w:rsidTr="00116A2B">
        <w:tc>
          <w:tcPr>
            <w:tcW w:w="9679" w:type="dxa"/>
            <w:gridSpan w:val="2"/>
          </w:tcPr>
          <w:p w:rsidR="00107274" w:rsidRPr="00022B25" w:rsidRDefault="00107274" w:rsidP="00107274">
            <w:r w:rsidRPr="00474561">
              <w:rPr>
                <w:b/>
                <w:i/>
                <w:spacing w:val="-1"/>
              </w:rPr>
              <w:t>Module:</w:t>
            </w:r>
            <w:r w:rsidRPr="00B57BE6">
              <w:rPr>
                <w:i/>
                <w:spacing w:val="-1"/>
              </w:rPr>
              <w:t xml:space="preserve"> </w:t>
            </w:r>
            <w:r>
              <w:rPr>
                <w:i/>
                <w:spacing w:val="-1"/>
                <w:lang w:val="ka-GE"/>
              </w:rPr>
              <w:t>5</w:t>
            </w:r>
            <w:r w:rsidRPr="00B57BE6">
              <w:rPr>
                <w:i/>
                <w:spacing w:val="-1"/>
              </w:rPr>
              <w:t>.</w:t>
            </w:r>
            <w:r>
              <w:t xml:space="preserve"> </w:t>
            </w:r>
            <w:r w:rsidRPr="00107274">
              <w:rPr>
                <w:i/>
                <w:spacing w:val="-1"/>
              </w:rPr>
              <w:t>Expenses and incomes in foreign currency</w:t>
            </w:r>
          </w:p>
        </w:tc>
      </w:tr>
      <w:tr w:rsidR="00107274" w:rsidTr="00AD3932">
        <w:tc>
          <w:tcPr>
            <w:tcW w:w="4839" w:type="dxa"/>
          </w:tcPr>
          <w:p w:rsidR="00107274" w:rsidRPr="00474561" w:rsidRDefault="00107274" w:rsidP="00107274">
            <w:pPr>
              <w:jc w:val="both"/>
              <w:rPr>
                <w:b/>
                <w:i/>
                <w:spacing w:val="-1"/>
              </w:rPr>
            </w:pPr>
            <w:r w:rsidRPr="00107274">
              <w:t>The EU-SILC methodology does not explicitly deal with income in foreign currency (as a separate item)</w:t>
            </w:r>
          </w:p>
        </w:tc>
        <w:tc>
          <w:tcPr>
            <w:tcW w:w="4840" w:type="dxa"/>
          </w:tcPr>
          <w:p w:rsidR="00107274" w:rsidRPr="00107274" w:rsidRDefault="00107274" w:rsidP="00107274">
            <w:pPr>
              <w:jc w:val="both"/>
              <w:rPr>
                <w:spacing w:val="-1"/>
              </w:rPr>
            </w:pPr>
            <w:r w:rsidRPr="00107274">
              <w:rPr>
                <w:spacing w:val="-1"/>
              </w:rPr>
              <w:t>Many Georgians are receiving money from abroad regularly, this is kind of country specific fact</w:t>
            </w:r>
          </w:p>
        </w:tc>
      </w:tr>
      <w:tr w:rsidR="00107274" w:rsidTr="00116A2B">
        <w:tc>
          <w:tcPr>
            <w:tcW w:w="9679" w:type="dxa"/>
            <w:gridSpan w:val="2"/>
          </w:tcPr>
          <w:p w:rsidR="00107274" w:rsidRPr="00022B25" w:rsidRDefault="00107274" w:rsidP="00107274">
            <w:r w:rsidRPr="006F0560">
              <w:rPr>
                <w:b/>
                <w:i/>
                <w:u w:val="single"/>
                <w:lang w:val="ka-GE"/>
              </w:rPr>
              <w:t>Summary:</w:t>
            </w:r>
            <w:r w:rsidRPr="002B36B1">
              <w:rPr>
                <w:i/>
                <w:u w:val="single"/>
                <w:lang w:val="ka-GE"/>
              </w:rPr>
              <w:t xml:space="preserve"> Changes was not made for calculation of income indicators.</w:t>
            </w:r>
          </w:p>
        </w:tc>
      </w:tr>
    </w:tbl>
    <w:p w:rsidR="0093649A" w:rsidRPr="00062993" w:rsidRDefault="0093649A">
      <w:pPr>
        <w:rPr>
          <w:lang w:val="ka-GE"/>
        </w:rPr>
      </w:pPr>
    </w:p>
    <w:sectPr w:rsidR="0093649A" w:rsidRPr="0006299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93"/>
    <w:rsid w:val="00022B25"/>
    <w:rsid w:val="00062993"/>
    <w:rsid w:val="00107274"/>
    <w:rsid w:val="00267054"/>
    <w:rsid w:val="002B36B1"/>
    <w:rsid w:val="00324299"/>
    <w:rsid w:val="00355CF9"/>
    <w:rsid w:val="003E6757"/>
    <w:rsid w:val="00474561"/>
    <w:rsid w:val="004936EB"/>
    <w:rsid w:val="004B7609"/>
    <w:rsid w:val="00667E5B"/>
    <w:rsid w:val="006C5B1D"/>
    <w:rsid w:val="006F0560"/>
    <w:rsid w:val="007A1D73"/>
    <w:rsid w:val="008B5508"/>
    <w:rsid w:val="00917788"/>
    <w:rsid w:val="0093649A"/>
    <w:rsid w:val="00A0706D"/>
    <w:rsid w:val="00AB1A0D"/>
    <w:rsid w:val="00B57BE6"/>
    <w:rsid w:val="00B635BA"/>
    <w:rsid w:val="00B802B8"/>
    <w:rsid w:val="00B8792C"/>
    <w:rsid w:val="00CF376C"/>
    <w:rsid w:val="00D16709"/>
    <w:rsid w:val="00DE1858"/>
    <w:rsid w:val="00E9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6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D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6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5980">
      <w:bodyDiv w:val="1"/>
      <w:marLeft w:val="0"/>
      <w:marRight w:val="0"/>
      <w:marTop w:val="0"/>
      <w:marBottom w:val="0"/>
      <w:divBdr>
        <w:top w:val="none" w:sz="0" w:space="0" w:color="auto"/>
        <w:left w:val="none" w:sz="0" w:space="0" w:color="auto"/>
        <w:bottom w:val="none" w:sz="0" w:space="0" w:color="auto"/>
        <w:right w:val="none" w:sz="0" w:space="0" w:color="auto"/>
      </w:divBdr>
    </w:div>
    <w:div w:id="501893793">
      <w:bodyDiv w:val="1"/>
      <w:marLeft w:val="0"/>
      <w:marRight w:val="0"/>
      <w:marTop w:val="0"/>
      <w:marBottom w:val="0"/>
      <w:divBdr>
        <w:top w:val="none" w:sz="0" w:space="0" w:color="auto"/>
        <w:left w:val="none" w:sz="0" w:space="0" w:color="auto"/>
        <w:bottom w:val="none" w:sz="0" w:space="0" w:color="auto"/>
        <w:right w:val="none" w:sz="0" w:space="0" w:color="auto"/>
      </w:divBdr>
      <w:divsChild>
        <w:div w:id="443422926">
          <w:marLeft w:val="677"/>
          <w:marRight w:val="0"/>
          <w:marTop w:val="280"/>
          <w:marBottom w:val="0"/>
          <w:divBdr>
            <w:top w:val="none" w:sz="0" w:space="0" w:color="auto"/>
            <w:left w:val="none" w:sz="0" w:space="0" w:color="auto"/>
            <w:bottom w:val="none" w:sz="0" w:space="0" w:color="auto"/>
            <w:right w:val="none" w:sz="0" w:space="0" w:color="auto"/>
          </w:divBdr>
        </w:div>
      </w:divsChild>
    </w:div>
    <w:div w:id="884557929">
      <w:bodyDiv w:val="1"/>
      <w:marLeft w:val="0"/>
      <w:marRight w:val="0"/>
      <w:marTop w:val="0"/>
      <w:marBottom w:val="0"/>
      <w:divBdr>
        <w:top w:val="none" w:sz="0" w:space="0" w:color="auto"/>
        <w:left w:val="none" w:sz="0" w:space="0" w:color="auto"/>
        <w:bottom w:val="none" w:sz="0" w:space="0" w:color="auto"/>
        <w:right w:val="none" w:sz="0" w:space="0" w:color="auto"/>
      </w:divBdr>
    </w:div>
    <w:div w:id="906040741">
      <w:bodyDiv w:val="1"/>
      <w:marLeft w:val="0"/>
      <w:marRight w:val="0"/>
      <w:marTop w:val="0"/>
      <w:marBottom w:val="0"/>
      <w:divBdr>
        <w:top w:val="none" w:sz="0" w:space="0" w:color="auto"/>
        <w:left w:val="none" w:sz="0" w:space="0" w:color="auto"/>
        <w:bottom w:val="none" w:sz="0" w:space="0" w:color="auto"/>
        <w:right w:val="none" w:sz="0" w:space="0" w:color="auto"/>
      </w:divBdr>
    </w:div>
    <w:div w:id="1249314151">
      <w:bodyDiv w:val="1"/>
      <w:marLeft w:val="0"/>
      <w:marRight w:val="0"/>
      <w:marTop w:val="0"/>
      <w:marBottom w:val="0"/>
      <w:divBdr>
        <w:top w:val="none" w:sz="0" w:space="0" w:color="auto"/>
        <w:left w:val="none" w:sz="0" w:space="0" w:color="auto"/>
        <w:bottom w:val="none" w:sz="0" w:space="0" w:color="auto"/>
        <w:right w:val="none" w:sz="0" w:space="0" w:color="auto"/>
      </w:divBdr>
    </w:div>
    <w:div w:id="12633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Statistik</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mikeladze</dc:creator>
  <cp:lastModifiedBy>Steen Bielefeldt Pedersen</cp:lastModifiedBy>
  <cp:revision>2</cp:revision>
  <dcterms:created xsi:type="dcterms:W3CDTF">2021-04-01T12:14:00Z</dcterms:created>
  <dcterms:modified xsi:type="dcterms:W3CDTF">2021-04-01T12:14:00Z</dcterms:modified>
</cp:coreProperties>
</file>