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38" w:rsidRDefault="00C95F38" w:rsidP="00C95F38">
      <w:pPr>
        <w:pStyle w:val="Tab"/>
      </w:pPr>
      <w:bookmarkStart w:id="0" w:name="Brødtekststart"/>
      <w:bookmarkStart w:id="1" w:name="DST"/>
      <w:bookmarkEnd w:id="0"/>
      <w:bookmarkEnd w:id="1"/>
      <w:r>
        <w:t xml:space="preserve">Danmarks Statistik, </w:t>
      </w:r>
      <w:bookmarkStart w:id="2" w:name="Kontor"/>
      <w:bookmarkEnd w:id="2"/>
      <w:r>
        <w:t>Velfærd</w:t>
      </w:r>
      <w:r>
        <w:tab/>
      </w:r>
      <w:bookmarkStart w:id="3" w:name="Dato"/>
      <w:bookmarkEnd w:id="3"/>
      <w:r>
        <w:t>20-09-2010</w:t>
      </w:r>
    </w:p>
    <w:p w:rsidR="00C95F38" w:rsidRDefault="00C95F38" w:rsidP="00C95F38">
      <w:pPr>
        <w:pStyle w:val="Tab"/>
      </w:pPr>
      <w:bookmarkStart w:id="4" w:name="Sektion"/>
      <w:bookmarkEnd w:id="4"/>
      <w:r>
        <w:t>Indkomst og Levevilkår</w:t>
      </w:r>
      <w:r>
        <w:tab/>
      </w:r>
      <w:bookmarkStart w:id="5" w:name="Brugerinitial"/>
      <w:bookmarkEnd w:id="5"/>
      <w:r>
        <w:t>PLT/-</w:t>
      </w:r>
    </w:p>
    <w:p w:rsidR="00C95F38" w:rsidRDefault="00C95F38" w:rsidP="00C95F38">
      <w:pPr>
        <w:pStyle w:val="Tab"/>
        <w:tabs>
          <w:tab w:val="left" w:pos="4253"/>
        </w:tabs>
      </w:pPr>
      <w:r>
        <w:tab/>
      </w:r>
      <w:bookmarkStart w:id="6" w:name="Udkast"/>
      <w:bookmarkEnd w:id="6"/>
      <w:r>
        <w:tab/>
        <w:t xml:space="preserve">Akt.nr. </w:t>
      </w:r>
      <w:bookmarkStart w:id="7" w:name="Journalnr"/>
      <w:bookmarkEnd w:id="7"/>
    </w:p>
    <w:p w:rsidR="00C95F38" w:rsidRDefault="00C95F38" w:rsidP="00C95F38">
      <w:pPr>
        <w:tabs>
          <w:tab w:val="left" w:pos="4253"/>
          <w:tab w:val="left" w:pos="7598"/>
        </w:tabs>
      </w:pPr>
    </w:p>
    <w:p w:rsidR="00C95F38" w:rsidRDefault="00C95F38" w:rsidP="00C95F38">
      <w:pPr>
        <w:pStyle w:val="Tab"/>
        <w:tabs>
          <w:tab w:val="clear" w:pos="7598"/>
          <w:tab w:val="left" w:pos="425"/>
        </w:tabs>
        <w:jc w:val="left"/>
        <w:sectPr w:rsidR="00C95F38" w:rsidSect="00C95F38">
          <w:footerReference w:type="default" r:id="rId9"/>
          <w:footerReference w:type="first" r:id="rId10"/>
          <w:type w:val="continuous"/>
          <w:pgSz w:w="11906" w:h="16838" w:code="9"/>
          <w:pgMar w:top="459" w:right="794" w:bottom="1247" w:left="1191" w:header="454" w:footer="454" w:gutter="0"/>
          <w:cols w:space="708"/>
          <w:titlePg/>
          <w:docGrid w:linePitch="360"/>
        </w:sectPr>
      </w:pPr>
      <w:r>
        <w:t>Til</w:t>
      </w:r>
      <w:r>
        <w:tab/>
      </w:r>
      <w:bookmarkStart w:id="8" w:name="Til"/>
      <w:bookmarkEnd w:id="8"/>
    </w:p>
    <w:p w:rsidR="00C95F38" w:rsidRDefault="00C95F38" w:rsidP="00C95F38">
      <w:pPr>
        <w:pStyle w:val="Titel"/>
      </w:pPr>
      <w:bookmarkStart w:id="9" w:name="Titel"/>
      <w:bookmarkEnd w:id="9"/>
      <w:r>
        <w:lastRenderedPageBreak/>
        <w:t>Ændringer i formueopgørelserne</w:t>
      </w:r>
    </w:p>
    <w:p w:rsidR="00C95F38" w:rsidRDefault="00C95F38" w:rsidP="00C95F38">
      <w:r w:rsidRPr="00021F82">
        <w:rPr>
          <w:b/>
        </w:rPr>
        <w:t>Opgørelserne af formuerne har tre store databrud</w:t>
      </w:r>
      <w:r>
        <w:t>:</w:t>
      </w:r>
    </w:p>
    <w:p w:rsidR="00C95F38" w:rsidRDefault="00C95F38" w:rsidP="00C95F38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C95F38" w:rsidRDefault="00C95F38" w:rsidP="00C95F38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 xml:space="preserve">1983: </w:t>
      </w:r>
      <w:r>
        <w:tab/>
        <w:t>Formuerne opgøres for gifte hos hver af ægtefællerne mod før samlet hos manden.</w:t>
      </w:r>
    </w:p>
    <w:p w:rsidR="00C95F38" w:rsidRDefault="00C95F38" w:rsidP="00C95F38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1987-1996: Der opgøres en skattemæssig egenkapital (kan være negativ) i selvstændiges virksomhed, som lægges til aktiverne.</w:t>
      </w:r>
    </w:p>
    <w:p w:rsidR="00C95F38" w:rsidRDefault="00C95F38" w:rsidP="00C95F38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 xml:space="preserve">1997: </w:t>
      </w:r>
      <w:r>
        <w:tab/>
        <w:t>Med formueskattens ophævelse udgår en række formueposter: væ</w:t>
      </w:r>
      <w:r>
        <w:t>r</w:t>
      </w:r>
      <w:r>
        <w:t>di af bil lystbåd, campingvogne, kontantbeholdning, aktier og pantebr</w:t>
      </w:r>
      <w:r>
        <w:t>e</w:t>
      </w:r>
      <w:r>
        <w:t>ve uden for depoter samt privat gæld. Den skattemæssige værdi af egenkapitalen i selvstændiges virksomhed udgår; til gengæld indgår værdi af driftsbygninger samt virksomhedens finansielle aktiver og passiver.</w:t>
      </w:r>
    </w:p>
    <w:p w:rsidR="00C95F38" w:rsidRDefault="00C95F38" w:rsidP="00C95F38">
      <w:pPr>
        <w:pStyle w:val="Opstilling-punkttegn"/>
        <w:numPr>
          <w:ilvl w:val="0"/>
          <w:numId w:val="0"/>
        </w:numPr>
        <w:spacing w:after="80"/>
        <w:ind w:left="360" w:hanging="360"/>
      </w:pPr>
    </w:p>
    <w:p w:rsidR="00C95F38" w:rsidRDefault="00C95F38" w:rsidP="00C95F38">
      <w:pPr>
        <w:rPr>
          <w:b/>
        </w:rPr>
      </w:pPr>
      <w:r w:rsidRPr="00561260">
        <w:rPr>
          <w:b/>
        </w:rPr>
        <w:t>Ændringer for akti</w:t>
      </w:r>
      <w:r>
        <w:rPr>
          <w:b/>
        </w:rPr>
        <w:t>v</w:t>
      </w:r>
      <w:r w:rsidRPr="00561260">
        <w:rPr>
          <w:b/>
        </w:rPr>
        <w:t>er:</w:t>
      </w:r>
    </w:p>
    <w:p w:rsidR="00C95F38" w:rsidRDefault="00C95F38" w:rsidP="00C95F38">
      <w:pPr>
        <w:pStyle w:val="Ledetekst"/>
        <w:framePr w:wrap="notBeside"/>
      </w:pPr>
      <w:r>
        <w:t xml:space="preserve">1980-1982 </w:t>
      </w:r>
    </w:p>
    <w:p w:rsidR="00C95F38" w:rsidRDefault="00C95F38" w:rsidP="00C95F38">
      <w:r>
        <w:t>Aktiver, passiver og formueindkomster er for gifte par opgjort hos manden.</w:t>
      </w:r>
    </w:p>
    <w:p w:rsidR="00C95F38" w:rsidRDefault="00C95F38" w:rsidP="00C95F38">
      <w:r>
        <w:t xml:space="preserve"> </w:t>
      </w:r>
    </w:p>
    <w:p w:rsidR="00C95F38" w:rsidRDefault="00C95F38" w:rsidP="00C95F38">
      <w:pPr>
        <w:pStyle w:val="Ledetekst"/>
        <w:framePr w:wrap="notBeside"/>
      </w:pPr>
      <w:r>
        <w:t>1981</w:t>
      </w:r>
    </w:p>
    <w:p w:rsidR="00C95F38" w:rsidRDefault="00C95F38" w:rsidP="00C95F38">
      <w:r>
        <w:t>Bygninger og driftsmidler (inventar, maskiner biler mv.), som anvendes erhvervsmæssigt, opgøres til 80 pct. af kontantværdien eller den driftsmæssige sa</w:t>
      </w:r>
      <w:r>
        <w:t>l</w:t>
      </w:r>
      <w:r>
        <w:t>doværdi.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 xml:space="preserve">1982 </w:t>
      </w:r>
    </w:p>
    <w:p w:rsidR="00C95F38" w:rsidRDefault="00C95F38" w:rsidP="00C95F38">
      <w:r>
        <w:t>Bygninger og driftsmidler (inventar, maskiner biler mv.), som anvendes erhvervsmæssigt, opgøres til 75 pct. af kontantværdien eller den driftsmæssige sa</w:t>
      </w:r>
      <w:r>
        <w:t>l</w:t>
      </w:r>
      <w:r>
        <w:t>doværdi.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1983 ff.</w:t>
      </w:r>
    </w:p>
    <w:p w:rsidR="00C95F38" w:rsidRDefault="00C95F38" w:rsidP="00C95F38">
      <w:r>
        <w:t>Aktiver, passiver og formueindkomster er for alle opgjort som deres andel- for gifte med 50 pct. til hver, hvis der ikke er indberettet andet til SKAT eller kr</w:t>
      </w:r>
      <w:r>
        <w:t>e</w:t>
      </w:r>
      <w:r>
        <w:t xml:space="preserve">ditforening og andre </w:t>
      </w:r>
      <w:proofErr w:type="spellStart"/>
      <w:r>
        <w:t>indberettere</w:t>
      </w:r>
      <w:proofErr w:type="spellEnd"/>
      <w:r>
        <w:t>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1985-2003</w:t>
      </w:r>
    </w:p>
    <w:p w:rsidR="00C95F38" w:rsidRDefault="00C95F38" w:rsidP="00C95F38">
      <w:r>
        <w:t>Kontant ejendomsværdi opgjort pr. første januar. Fra 1980 til 1985 opgøre</w:t>
      </w:r>
      <w:r>
        <w:t>l</w:t>
      </w:r>
      <w:r>
        <w:t>se pr. 1. april.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1983-1987</w:t>
      </w:r>
    </w:p>
    <w:p w:rsidR="00C95F38" w:rsidRDefault="00C95F38" w:rsidP="00C95F38">
      <w:r>
        <w:t>Bygninger og driftsmidler (inventar, maskiner biler mv.), som anvendes erhvervsmæssigt, opgøres til 70 pct. af kontantværdien eller den driftsmæssige sa</w:t>
      </w:r>
      <w:r>
        <w:t>l</w:t>
      </w:r>
      <w:r>
        <w:t>doværdi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1988-1996</w:t>
      </w:r>
    </w:p>
    <w:p w:rsidR="00C95F38" w:rsidRDefault="00C95F38" w:rsidP="00C95F38">
      <w:r>
        <w:t>Bygninger og driftsmidler (inventar, maskiner biler mv.), som anvendes erhvervsmæssigt, opgøres til 60 pct. af kontantværdien eller den driftsmæssige sa</w:t>
      </w:r>
      <w:r>
        <w:t>l</w:t>
      </w:r>
      <w:r>
        <w:t>doværdi.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1987-1996</w:t>
      </w:r>
    </w:p>
    <w:p w:rsidR="00C95F38" w:rsidRDefault="00C95F38" w:rsidP="00C95F38">
      <w:r>
        <w:t>Egenkapitalen i selvstændig virksomhed opgøres særskilt og lægges til akt</w:t>
      </w:r>
      <w:r>
        <w:t>i</w:t>
      </w:r>
      <w:r>
        <w:t xml:space="preserve">verne. Egenkapitalen er lig med de ovenfor anførte opgørelse af bygninger og driftsmidler tillagt lagerbeholdninger og besætninger samt virksomhedens finansielle aktiver og fratrukket virksomhedens gæld. Dvs., at egenkapitalen kan være negativ. </w:t>
      </w:r>
    </w:p>
    <w:p w:rsidR="00C95F38" w:rsidRDefault="00C95F38" w:rsidP="00C95F38"/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lastRenderedPageBreak/>
        <w:t>1997 ff.</w:t>
      </w:r>
    </w:p>
    <w:p w:rsidR="00C95F38" w:rsidRDefault="00C95F38" w:rsidP="00C95F38">
      <w:r>
        <w:t>Formueskatten ophæves. Egenkapitalen i selvstændig virksomhed indgår ikke i opgørelsen. Derimod indgår værdien af driftsbygninger med fulde væ</w:t>
      </w:r>
      <w:r>
        <w:t>r</w:t>
      </w:r>
      <w:r>
        <w:t>di og virksomhedernes finansielle aktiver. Værdi af bil, lystbåd, campingvo</w:t>
      </w:r>
      <w:r>
        <w:t>g</w:t>
      </w:r>
      <w:r>
        <w:t xml:space="preserve">ne, værdi af </w:t>
      </w:r>
      <w:r w:rsidRPr="00E143BA">
        <w:t>andelsbeviser for andelslejligheder, præmieobligationer, anpa</w:t>
      </w:r>
      <w:r w:rsidRPr="00E143BA">
        <w:t>r</w:t>
      </w:r>
      <w:r w:rsidRPr="00E143BA">
        <w:t>ter og kontant beholdning</w:t>
      </w:r>
      <w:r>
        <w:t xml:space="preserve"> samt aktier og pantebreve uden for depoter indgår ikke i opgørelsen. Kontantværdien af ejendomme tages fra ejendomsregisteret i st</w:t>
      </w:r>
      <w:r>
        <w:t>e</w:t>
      </w:r>
      <w:r>
        <w:t xml:space="preserve">det for fra </w:t>
      </w:r>
      <w:proofErr w:type="spellStart"/>
      <w:r>
        <w:t>SKATs</w:t>
      </w:r>
      <w:proofErr w:type="spellEnd"/>
      <w:r>
        <w:t xml:space="preserve"> slutligningsregister. Det giver nogle ændringer. Først og fremmest inkluderer ejendomsregisteret alle ejendomme (dog ikke værdi af andelsbeviser), hvorimod slutligningsregisteret alene omfatter boliger.</w:t>
      </w:r>
    </w:p>
    <w:p w:rsidR="00C95F38" w:rsidRDefault="00C95F38" w:rsidP="00C95F38"/>
    <w:p w:rsidR="00C95F38" w:rsidRDefault="00C95F38" w:rsidP="00C95F38">
      <w:r>
        <w:t>Før 1997 indberettedes værdien af aktieformuen af skatteyderen. Fra og med 1997 er det den indberettede værdi af aktierne fra depoter. Det giver en kra</w:t>
      </w:r>
      <w:r>
        <w:t>f</w:t>
      </w:r>
      <w:r>
        <w:t>tig stigning i antallet af aktionærer fra 1996 til 1997 (hovedsagelig mindre aktionærposter). Inkluderer fra og med 1997 også hovedaktionærposter i depot. Før 1997 indberettedes alle hovedaktionæraktier særskilt til SKAT.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2003 ff.</w:t>
      </w:r>
    </w:p>
    <w:p w:rsidR="00C95F38" w:rsidRDefault="00C95F38" w:rsidP="00C95F38">
      <w:r>
        <w:t>Fra 2003 er den kontante ejendomsværdi opgjort pr. første oktober mod før pr. første januar.</w:t>
      </w:r>
    </w:p>
    <w:p w:rsidR="00C95F38" w:rsidRDefault="00C95F38" w:rsidP="00C95F38">
      <w:r>
        <w:br/>
      </w:r>
      <w:r>
        <w:rPr>
          <w:b/>
        </w:rPr>
        <w:t>Ændringer for passiver</w:t>
      </w:r>
      <w:r w:rsidRPr="00561260">
        <w:rPr>
          <w:b/>
        </w:rPr>
        <w:t>:</w:t>
      </w:r>
      <w:r w:rsidDel="0005291E">
        <w:rPr>
          <w:b/>
        </w:rPr>
        <w:t xml:space="preserve"> </w:t>
      </w:r>
    </w:p>
    <w:p w:rsidR="00C95F38" w:rsidRDefault="00C95F38" w:rsidP="00C95F38">
      <w:pPr>
        <w:pStyle w:val="Ledetekst"/>
        <w:framePr w:wrap="notBeside"/>
      </w:pPr>
      <w:r>
        <w:t>1980-1982</w:t>
      </w:r>
    </w:p>
    <w:p w:rsidR="00C95F38" w:rsidRDefault="00C95F38" w:rsidP="00C95F38">
      <w:r>
        <w:t>Aktiver, passiver og formueindkomster er for gifte par opgjort hos manden.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1981</w:t>
      </w:r>
    </w:p>
    <w:p w:rsidR="00C95F38" w:rsidRDefault="00C95F38" w:rsidP="00C95F38">
      <w:r>
        <w:t>Realkreditgæld opgøres fra dette år efter kursværdien mod tidligere pålyde</w:t>
      </w:r>
      <w:r>
        <w:t>n</w:t>
      </w:r>
      <w:r>
        <w:t>de værdi.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1983 ff.</w:t>
      </w:r>
    </w:p>
    <w:p w:rsidR="00C95F38" w:rsidRDefault="00C95F38" w:rsidP="00C95F38">
      <w:r>
        <w:t>Aktiver, passiver og formueindkomster er for alle opgjort som deres andel- for gifte med 50 pct. til hver, hvis intet andet er anført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1987 ff.</w:t>
      </w:r>
    </w:p>
    <w:p w:rsidR="00C95F38" w:rsidRDefault="00C95F38" w:rsidP="00C95F38">
      <w:r>
        <w:t>Gæld til realkredit og gæld til pengeinstitutter, hypotekbank mv., gæld af pa</w:t>
      </w:r>
      <w:r>
        <w:t>n</w:t>
      </w:r>
      <w:r>
        <w:t>tebreve i depot samt renter heraf optræder fortrykt på selvangivelsen.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>
        <w:t>1987-1996</w:t>
      </w:r>
    </w:p>
    <w:p w:rsidR="00C95F38" w:rsidRDefault="00C95F38" w:rsidP="00C95F38">
      <w:r>
        <w:t>Gæld i selvstændig virksomhed indgår i udtrykket egenkapital i selvstændig virksomhed og indgår dermed ikke i opgørelsen af passiver.</w:t>
      </w:r>
    </w:p>
    <w:p w:rsidR="00C95F38" w:rsidRDefault="00C95F38" w:rsidP="00C95F38"/>
    <w:p w:rsidR="00C95F38" w:rsidRDefault="00C95F38" w:rsidP="00C95F38">
      <w:pPr>
        <w:pStyle w:val="Ledetekst"/>
        <w:framePr w:wrap="notBeside"/>
      </w:pPr>
      <w:r w:rsidRPr="00EA595D">
        <w:t>199</w:t>
      </w:r>
      <w:r>
        <w:t>7 ff.</w:t>
      </w:r>
    </w:p>
    <w:p w:rsidR="00C95F38" w:rsidRPr="0005291E" w:rsidRDefault="00C95F38" w:rsidP="00C95F38">
      <w:pPr>
        <w:rPr>
          <w:szCs w:val="22"/>
        </w:rPr>
      </w:pPr>
      <w:r>
        <w:t>Finansielle passiver i selvstændiges virksomhed indgår i passiverne. Anden gæld indgår ikke i opgørelsen – alene gæld til pengeinstitutter, hypote</w:t>
      </w:r>
      <w:r>
        <w:t>k</w:t>
      </w:r>
      <w:r>
        <w:t xml:space="preserve">bank, kontokortordninger og kreditforeningsgæld (pantebrevsgæld i depot) indgår i opgørelsen. </w:t>
      </w:r>
      <w:r w:rsidRPr="0005291E">
        <w:rPr>
          <w:szCs w:val="22"/>
        </w:rPr>
        <w:t>Anden gæld er f</w:t>
      </w:r>
      <w:r>
        <w:rPr>
          <w:szCs w:val="22"/>
        </w:rPr>
        <w:t>x</w:t>
      </w:r>
      <w:r w:rsidRPr="0005291E">
        <w:rPr>
          <w:szCs w:val="22"/>
        </w:rPr>
        <w:t xml:space="preserve"> pantebreve</w:t>
      </w:r>
      <w:r>
        <w:rPr>
          <w:szCs w:val="22"/>
        </w:rPr>
        <w:t>,</w:t>
      </w:r>
      <w:r w:rsidRPr="0005291E">
        <w:rPr>
          <w:szCs w:val="22"/>
        </w:rPr>
        <w:t xml:space="preserve"> der ikke er i depot, afbetalingsko</w:t>
      </w:r>
      <w:r w:rsidRPr="0005291E">
        <w:rPr>
          <w:szCs w:val="22"/>
        </w:rPr>
        <w:t>n</w:t>
      </w:r>
      <w:r w:rsidRPr="0005291E">
        <w:rPr>
          <w:szCs w:val="22"/>
        </w:rPr>
        <w:t>trakter, policelån, vej- og kloakgæld, skyldig restskat, B-skat vedr. tidligere år, samt skyldige arbejdsmarkedsb</w:t>
      </w:r>
      <w:r w:rsidRPr="0005291E">
        <w:rPr>
          <w:szCs w:val="22"/>
        </w:rPr>
        <w:t>i</w:t>
      </w:r>
      <w:r w:rsidRPr="0005291E">
        <w:rPr>
          <w:szCs w:val="22"/>
        </w:rPr>
        <w:t>drag</w:t>
      </w:r>
      <w:r>
        <w:rPr>
          <w:szCs w:val="22"/>
        </w:rPr>
        <w:t>.</w:t>
      </w:r>
    </w:p>
    <w:p w:rsidR="00C95F38" w:rsidRDefault="00C95F38" w:rsidP="00C95F38">
      <w:r>
        <w:br w:type="page"/>
      </w:r>
    </w:p>
    <w:p w:rsidR="00C95F38" w:rsidRDefault="00C95F38" w:rsidP="00C95F38">
      <w:pPr>
        <w:sectPr w:rsidR="00C95F38">
          <w:footerReference w:type="default" r:id="rId11"/>
          <w:type w:val="continuous"/>
          <w:pgSz w:w="11906" w:h="16838"/>
          <w:pgMar w:top="1021" w:right="794" w:bottom="1247" w:left="3742" w:header="454" w:footer="454" w:gutter="0"/>
          <w:cols w:space="708"/>
          <w:docGrid w:linePitch="360"/>
        </w:sectPr>
      </w:pPr>
    </w:p>
    <w:p w:rsidR="00C95F38" w:rsidRPr="00D57ADB" w:rsidRDefault="00C95F38" w:rsidP="00C95F38">
      <w:pPr>
        <w:rPr>
          <w:b/>
        </w:rPr>
      </w:pPr>
      <w:r w:rsidRPr="00D57ADB">
        <w:rPr>
          <w:b/>
        </w:rPr>
        <w:lastRenderedPageBreak/>
        <w:t xml:space="preserve">Formuevariable </w:t>
      </w:r>
      <w:bookmarkStart w:id="10" w:name="_GoBack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6A5003" w:rsidTr="00C95F38"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Variabelnavn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Beskrivelse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ind w:right="413"/>
              <w:jc w:val="right"/>
              <w:rPr>
                <w:sz w:val="20"/>
              </w:rPr>
            </w:pPr>
            <w:r w:rsidRPr="00C95F38">
              <w:rPr>
                <w:sz w:val="20"/>
              </w:rPr>
              <w:t>1980-1996</w:t>
            </w:r>
          </w:p>
        </w:tc>
        <w:tc>
          <w:tcPr>
            <w:tcW w:w="2516" w:type="dxa"/>
            <w:shd w:val="clear" w:color="auto" w:fill="auto"/>
          </w:tcPr>
          <w:p w:rsidR="00C95F38" w:rsidRPr="00C95F38" w:rsidRDefault="00C95F38" w:rsidP="00C95F38">
            <w:pPr>
              <w:ind w:right="413"/>
              <w:jc w:val="right"/>
              <w:rPr>
                <w:sz w:val="20"/>
              </w:rPr>
            </w:pPr>
            <w:r w:rsidRPr="00C95F38">
              <w:rPr>
                <w:sz w:val="20"/>
              </w:rPr>
              <w:t xml:space="preserve"> Fra 1995 </w:t>
            </w:r>
          </w:p>
        </w:tc>
      </w:tr>
      <w:tr w:rsidR="006A5003" w:rsidTr="00C95F38"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QAKTIVF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jc w:val="left"/>
              <w:rPr>
                <w:sz w:val="20"/>
              </w:rPr>
            </w:pPr>
            <w:r w:rsidRPr="00C95F38">
              <w:rPr>
                <w:sz w:val="20"/>
              </w:rPr>
              <w:t>Aktiver opgjort efter gl. opgørelse. Ejendom</w:t>
            </w:r>
            <w:r w:rsidRPr="00C95F38">
              <w:rPr>
                <w:sz w:val="20"/>
              </w:rPr>
              <w:t>s</w:t>
            </w:r>
            <w:r w:rsidRPr="00C95F38">
              <w:rPr>
                <w:sz w:val="20"/>
              </w:rPr>
              <w:t>værdi alene fra eje</w:t>
            </w:r>
            <w:r w:rsidRPr="00C95F38">
              <w:rPr>
                <w:sz w:val="20"/>
              </w:rPr>
              <w:t>n</w:t>
            </w:r>
            <w:r w:rsidRPr="00C95F38">
              <w:rPr>
                <w:sz w:val="20"/>
              </w:rPr>
              <w:t xml:space="preserve">domme med boliger, </w:t>
            </w:r>
            <w:r w:rsidRPr="00C95F38">
              <w:rPr>
                <w:i/>
                <w:sz w:val="20"/>
              </w:rPr>
              <w:t>ekskl. pe</w:t>
            </w:r>
            <w:r w:rsidRPr="00C95F38">
              <w:rPr>
                <w:i/>
                <w:sz w:val="20"/>
              </w:rPr>
              <w:t>n</w:t>
            </w:r>
            <w:r w:rsidRPr="00C95F38">
              <w:rPr>
                <w:i/>
                <w:sz w:val="20"/>
              </w:rPr>
              <w:t>sionsformuer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ind w:right="881"/>
              <w:jc w:val="right"/>
              <w:rPr>
                <w:sz w:val="20"/>
              </w:rPr>
            </w:pPr>
            <w:r w:rsidRPr="00C95F38">
              <w:rPr>
                <w:sz w:val="20"/>
              </w:rPr>
              <w:t>X</w:t>
            </w:r>
          </w:p>
        </w:tc>
        <w:tc>
          <w:tcPr>
            <w:tcW w:w="2516" w:type="dxa"/>
            <w:shd w:val="clear" w:color="auto" w:fill="auto"/>
          </w:tcPr>
          <w:p w:rsidR="00C95F38" w:rsidRPr="00C95F38" w:rsidRDefault="00C95F38" w:rsidP="00C95F38">
            <w:pPr>
              <w:ind w:right="745"/>
              <w:jc w:val="right"/>
              <w:rPr>
                <w:sz w:val="20"/>
              </w:rPr>
            </w:pPr>
          </w:p>
        </w:tc>
      </w:tr>
      <w:tr w:rsidR="006A5003" w:rsidTr="00C95F38"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QAKTIVF_NY05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jc w:val="left"/>
              <w:rPr>
                <w:sz w:val="20"/>
              </w:rPr>
            </w:pPr>
            <w:r w:rsidRPr="00C95F38">
              <w:rPr>
                <w:sz w:val="20"/>
              </w:rPr>
              <w:t>Aktiver opgjort efter ny opgørelse. Ejendom</w:t>
            </w:r>
            <w:r w:rsidRPr="00C95F38">
              <w:rPr>
                <w:sz w:val="20"/>
              </w:rPr>
              <w:t>s</w:t>
            </w:r>
            <w:r w:rsidRPr="00C95F38">
              <w:rPr>
                <w:sz w:val="20"/>
              </w:rPr>
              <w:t>værdi med alle eje</w:t>
            </w:r>
            <w:r w:rsidRPr="00C95F38">
              <w:rPr>
                <w:sz w:val="20"/>
              </w:rPr>
              <w:t>n</w:t>
            </w:r>
            <w:r w:rsidRPr="00C95F38">
              <w:rPr>
                <w:sz w:val="20"/>
              </w:rPr>
              <w:t>domme, herunder eje</w:t>
            </w:r>
            <w:r w:rsidRPr="00C95F38">
              <w:rPr>
                <w:sz w:val="20"/>
              </w:rPr>
              <w:t>n</w:t>
            </w:r>
            <w:r w:rsidRPr="00C95F38">
              <w:rPr>
                <w:sz w:val="20"/>
              </w:rPr>
              <w:t xml:space="preserve">domme uden boliger, </w:t>
            </w:r>
            <w:r w:rsidRPr="00C95F38">
              <w:rPr>
                <w:i/>
                <w:sz w:val="20"/>
              </w:rPr>
              <w:t>ekskl. pensionsformuer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ind w:right="881"/>
              <w:jc w:val="right"/>
              <w:rPr>
                <w:sz w:val="20"/>
              </w:rPr>
            </w:pPr>
          </w:p>
        </w:tc>
        <w:tc>
          <w:tcPr>
            <w:tcW w:w="2516" w:type="dxa"/>
            <w:shd w:val="clear" w:color="auto" w:fill="auto"/>
          </w:tcPr>
          <w:p w:rsidR="00C95F38" w:rsidRPr="00C95F38" w:rsidRDefault="00C95F38" w:rsidP="00C95F38">
            <w:pPr>
              <w:ind w:right="745"/>
              <w:jc w:val="right"/>
              <w:rPr>
                <w:sz w:val="20"/>
              </w:rPr>
            </w:pPr>
            <w:r w:rsidRPr="00C95F38">
              <w:rPr>
                <w:sz w:val="20"/>
              </w:rPr>
              <w:t>X</w:t>
            </w:r>
          </w:p>
        </w:tc>
      </w:tr>
      <w:tr w:rsidR="006A5003" w:rsidTr="00C95F38"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QPASSIV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jc w:val="left"/>
              <w:rPr>
                <w:sz w:val="20"/>
              </w:rPr>
            </w:pPr>
            <w:r w:rsidRPr="00C95F38">
              <w:rPr>
                <w:sz w:val="20"/>
              </w:rPr>
              <w:t xml:space="preserve">Passiver opgjort efter gl. opgørelse 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ind w:right="881"/>
              <w:jc w:val="right"/>
              <w:rPr>
                <w:sz w:val="20"/>
              </w:rPr>
            </w:pPr>
            <w:r w:rsidRPr="00C95F38">
              <w:rPr>
                <w:sz w:val="20"/>
              </w:rPr>
              <w:t>X</w:t>
            </w:r>
          </w:p>
        </w:tc>
        <w:tc>
          <w:tcPr>
            <w:tcW w:w="2516" w:type="dxa"/>
            <w:shd w:val="clear" w:color="auto" w:fill="auto"/>
          </w:tcPr>
          <w:p w:rsidR="00C95F38" w:rsidRPr="00C95F38" w:rsidRDefault="00C95F38" w:rsidP="00C95F38">
            <w:pPr>
              <w:ind w:right="745"/>
              <w:jc w:val="right"/>
              <w:rPr>
                <w:sz w:val="20"/>
              </w:rPr>
            </w:pPr>
          </w:p>
        </w:tc>
      </w:tr>
      <w:tr w:rsidR="006A5003" w:rsidTr="00C95F38"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QPASSIVN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jc w:val="left"/>
              <w:rPr>
                <w:sz w:val="20"/>
              </w:rPr>
            </w:pPr>
            <w:r w:rsidRPr="00C95F38">
              <w:rPr>
                <w:sz w:val="20"/>
              </w:rPr>
              <w:t>Passiver opgjort efter ny opgørelse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ind w:right="881"/>
              <w:jc w:val="right"/>
              <w:rPr>
                <w:sz w:val="20"/>
              </w:rPr>
            </w:pPr>
          </w:p>
        </w:tc>
        <w:tc>
          <w:tcPr>
            <w:tcW w:w="2516" w:type="dxa"/>
            <w:shd w:val="clear" w:color="auto" w:fill="auto"/>
          </w:tcPr>
          <w:p w:rsidR="00C95F38" w:rsidRPr="00C95F38" w:rsidRDefault="00C95F38" w:rsidP="00C95F38">
            <w:pPr>
              <w:ind w:right="745"/>
              <w:jc w:val="right"/>
              <w:rPr>
                <w:sz w:val="20"/>
              </w:rPr>
            </w:pPr>
            <w:r w:rsidRPr="00C95F38">
              <w:rPr>
                <w:sz w:val="20"/>
              </w:rPr>
              <w:t>x</w:t>
            </w:r>
          </w:p>
        </w:tc>
      </w:tr>
      <w:tr w:rsidR="006A5003" w:rsidTr="00C95F38"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FORM=QAKTIV-QPASSIV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jc w:val="left"/>
              <w:rPr>
                <w:sz w:val="20"/>
              </w:rPr>
            </w:pPr>
            <w:r w:rsidRPr="00C95F38">
              <w:rPr>
                <w:sz w:val="20"/>
              </w:rPr>
              <w:t xml:space="preserve">Nettoformue opgjort efter gl. opgørelse, </w:t>
            </w:r>
            <w:r w:rsidRPr="00C95F38">
              <w:rPr>
                <w:i/>
                <w:sz w:val="20"/>
              </w:rPr>
              <w:t>ekskl. pensionsformuer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ind w:right="881"/>
              <w:jc w:val="right"/>
              <w:rPr>
                <w:sz w:val="20"/>
              </w:rPr>
            </w:pPr>
            <w:r w:rsidRPr="00C95F38">
              <w:rPr>
                <w:sz w:val="20"/>
              </w:rPr>
              <w:t>X</w:t>
            </w:r>
          </w:p>
        </w:tc>
        <w:tc>
          <w:tcPr>
            <w:tcW w:w="2516" w:type="dxa"/>
            <w:shd w:val="clear" w:color="auto" w:fill="auto"/>
          </w:tcPr>
          <w:p w:rsidR="00C95F38" w:rsidRPr="00C95F38" w:rsidRDefault="00C95F38" w:rsidP="00C95F38">
            <w:pPr>
              <w:ind w:right="745"/>
              <w:jc w:val="right"/>
              <w:rPr>
                <w:sz w:val="20"/>
              </w:rPr>
            </w:pPr>
            <w:r w:rsidRPr="00C95F38">
              <w:rPr>
                <w:sz w:val="20"/>
              </w:rPr>
              <w:t>Til 1997</w:t>
            </w:r>
          </w:p>
        </w:tc>
      </w:tr>
      <w:tr w:rsidR="006A5003" w:rsidTr="00C95F38"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FORMREST_NY05=</w:t>
            </w:r>
          </w:p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QAKTIVF_NY05-QPASSIVN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jc w:val="left"/>
              <w:rPr>
                <w:sz w:val="20"/>
              </w:rPr>
            </w:pPr>
            <w:r w:rsidRPr="00C95F38">
              <w:rPr>
                <w:sz w:val="20"/>
              </w:rPr>
              <w:t xml:space="preserve">Nettoformue opgjort efter ny opgørelse, </w:t>
            </w:r>
            <w:r w:rsidRPr="00C95F38">
              <w:rPr>
                <w:i/>
                <w:sz w:val="20"/>
              </w:rPr>
              <w:t>ekskl. pensionsformuer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ind w:right="881"/>
              <w:jc w:val="right"/>
              <w:rPr>
                <w:sz w:val="20"/>
              </w:rPr>
            </w:pPr>
          </w:p>
        </w:tc>
        <w:tc>
          <w:tcPr>
            <w:tcW w:w="2516" w:type="dxa"/>
            <w:shd w:val="clear" w:color="auto" w:fill="auto"/>
          </w:tcPr>
          <w:p w:rsidR="00C95F38" w:rsidRPr="00C95F38" w:rsidRDefault="00C95F38" w:rsidP="00C95F38">
            <w:pPr>
              <w:ind w:right="745"/>
              <w:jc w:val="right"/>
              <w:rPr>
                <w:sz w:val="20"/>
              </w:rPr>
            </w:pPr>
            <w:r w:rsidRPr="00C95F38">
              <w:rPr>
                <w:sz w:val="20"/>
              </w:rPr>
              <w:t>Fra 1997</w:t>
            </w:r>
          </w:p>
        </w:tc>
      </w:tr>
      <w:tr w:rsidR="006A5003" w:rsidTr="00C95F38"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KOEJD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 xml:space="preserve">Kontant ejendomsværdi (DK) fra </w:t>
            </w:r>
            <w:proofErr w:type="spellStart"/>
            <w:r w:rsidRPr="00C95F38">
              <w:rPr>
                <w:sz w:val="20"/>
              </w:rPr>
              <w:t>SKATs</w:t>
            </w:r>
            <w:proofErr w:type="spellEnd"/>
            <w:r w:rsidRPr="00C95F38">
              <w:rPr>
                <w:sz w:val="20"/>
              </w:rPr>
              <w:t xml:space="preserve"> slutli</w:t>
            </w:r>
            <w:r w:rsidRPr="00C95F38">
              <w:rPr>
                <w:sz w:val="20"/>
              </w:rPr>
              <w:t>g</w:t>
            </w:r>
            <w:r w:rsidRPr="00C95F38">
              <w:rPr>
                <w:sz w:val="20"/>
              </w:rPr>
              <w:t>ningsregister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ind w:right="881"/>
              <w:jc w:val="right"/>
              <w:rPr>
                <w:sz w:val="20"/>
              </w:rPr>
            </w:pPr>
            <w:r w:rsidRPr="00C95F38">
              <w:rPr>
                <w:sz w:val="20"/>
              </w:rPr>
              <w:t>X</w:t>
            </w:r>
          </w:p>
        </w:tc>
        <w:tc>
          <w:tcPr>
            <w:tcW w:w="2516" w:type="dxa"/>
            <w:shd w:val="clear" w:color="auto" w:fill="auto"/>
          </w:tcPr>
          <w:p w:rsidR="00C95F38" w:rsidRPr="00C95F38" w:rsidRDefault="00C95F38" w:rsidP="00C95F38">
            <w:pPr>
              <w:ind w:right="745"/>
              <w:jc w:val="right"/>
              <w:rPr>
                <w:sz w:val="20"/>
              </w:rPr>
            </w:pPr>
            <w:r w:rsidRPr="00C95F38">
              <w:rPr>
                <w:sz w:val="20"/>
              </w:rPr>
              <w:t>X</w:t>
            </w:r>
          </w:p>
        </w:tc>
      </w:tr>
      <w:tr w:rsidR="006A5003" w:rsidTr="00C95F38">
        <w:tc>
          <w:tcPr>
            <w:tcW w:w="2515" w:type="dxa"/>
            <w:shd w:val="clear" w:color="auto" w:fill="auto"/>
          </w:tcPr>
          <w:p w:rsidR="00C95F38" w:rsidRPr="00C95F38" w:rsidRDefault="006A5003" w:rsidP="006A5003">
            <w:pPr>
              <w:rPr>
                <w:sz w:val="20"/>
              </w:rPr>
            </w:pPr>
            <w:r>
              <w:rPr>
                <w:sz w:val="20"/>
              </w:rPr>
              <w:t>EJENDOMSVURDERING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6A5003">
            <w:pPr>
              <w:rPr>
                <w:sz w:val="20"/>
              </w:rPr>
            </w:pPr>
            <w:r w:rsidRPr="00C95F38">
              <w:rPr>
                <w:sz w:val="20"/>
              </w:rPr>
              <w:t>Kontant ejendomsværdi (DK) opgjort ud fra oplysninger i ejendomsr</w:t>
            </w:r>
            <w:r w:rsidRPr="00C95F38">
              <w:rPr>
                <w:sz w:val="20"/>
              </w:rPr>
              <w:t>e</w:t>
            </w:r>
            <w:r w:rsidRPr="00C95F38">
              <w:rPr>
                <w:sz w:val="20"/>
              </w:rPr>
              <w:t>gisteret</w:t>
            </w:r>
          </w:p>
        </w:tc>
        <w:tc>
          <w:tcPr>
            <w:tcW w:w="2515" w:type="dxa"/>
            <w:shd w:val="clear" w:color="auto" w:fill="auto"/>
          </w:tcPr>
          <w:p w:rsidR="00C95F38" w:rsidRPr="00C95F38" w:rsidRDefault="00C95F38" w:rsidP="00C95F38">
            <w:pPr>
              <w:ind w:right="881"/>
              <w:jc w:val="right"/>
              <w:rPr>
                <w:sz w:val="20"/>
              </w:rPr>
            </w:pPr>
          </w:p>
        </w:tc>
        <w:tc>
          <w:tcPr>
            <w:tcW w:w="2516" w:type="dxa"/>
            <w:shd w:val="clear" w:color="auto" w:fill="auto"/>
          </w:tcPr>
          <w:p w:rsidR="00C95F38" w:rsidRPr="00C95F38" w:rsidRDefault="00C95F38" w:rsidP="00C95F38">
            <w:pPr>
              <w:ind w:right="745"/>
              <w:jc w:val="right"/>
              <w:rPr>
                <w:sz w:val="20"/>
              </w:rPr>
            </w:pPr>
            <w:r w:rsidRPr="00C95F38">
              <w:rPr>
                <w:sz w:val="20"/>
              </w:rPr>
              <w:t>Fra 1994</w:t>
            </w:r>
          </w:p>
        </w:tc>
      </w:tr>
    </w:tbl>
    <w:p w:rsidR="00C95F38" w:rsidRDefault="00C95F38" w:rsidP="00C95F38"/>
    <w:p w:rsidR="00C95F38" w:rsidRDefault="00C95F38" w:rsidP="00C95F38">
      <w:pPr>
        <w:sectPr w:rsidR="00C95F38" w:rsidSect="006A5003">
          <w:type w:val="continuous"/>
          <w:pgSz w:w="11906" w:h="16838"/>
          <w:pgMar w:top="1021" w:right="794" w:bottom="1247" w:left="1191" w:header="454" w:footer="454" w:gutter="0"/>
          <w:cols w:space="708"/>
          <w:docGrid w:linePitch="360"/>
        </w:sectPr>
      </w:pPr>
    </w:p>
    <w:p w:rsidR="00C95F38" w:rsidRDefault="00C95F38" w:rsidP="00C95F38"/>
    <w:p w:rsidR="00C95F38" w:rsidRDefault="00C95F38" w:rsidP="00C95F38">
      <w:r>
        <w:t>For årene 1995 og 1996 har det været muligt at opgøre aktiver og passiver på samme måde som efter formueskattens ophævelse fra 1997, dog på nær o</w:t>
      </w:r>
      <w:r>
        <w:t>p</w:t>
      </w:r>
      <w:r>
        <w:t>gørelsen af aktieformuen. Derfor går variablene QAKTIVF_NY05, QPASSIVN tilbage til 1995.</w:t>
      </w:r>
    </w:p>
    <w:p w:rsidR="00C95F38" w:rsidRPr="00EA595D" w:rsidRDefault="00C95F38" w:rsidP="00C95F38"/>
    <w:sectPr w:rsidR="00C95F38" w:rsidRPr="00EA595D" w:rsidSect="00CF4972">
      <w:headerReference w:type="default" r:id="rId12"/>
      <w:footerReference w:type="default" r:id="rId13"/>
      <w:type w:val="continuous"/>
      <w:pgSz w:w="11906" w:h="16838" w:code="9"/>
      <w:pgMar w:top="1021" w:right="794" w:bottom="1247" w:left="3742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03" w:rsidRDefault="006A5003" w:rsidP="00E816D9">
      <w:r>
        <w:separator/>
      </w:r>
    </w:p>
  </w:endnote>
  <w:endnote w:type="continuationSeparator" w:id="0">
    <w:p w:rsidR="006A5003" w:rsidRDefault="006A5003" w:rsidP="00E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>
    <w:pPr>
      <w:pStyle w:val="Sidefod"/>
      <w:tabs>
        <w:tab w:val="clear" w:pos="4819"/>
        <w:tab w:val="clear" w:pos="9638"/>
        <w:tab w:val="left" w:pos="2211"/>
      </w:tabs>
    </w:pPr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Pr="00561260" w:rsidRDefault="006A5003">
    <w:pPr>
      <w:pStyle w:val="Sidefod"/>
      <w:jc w:val="center"/>
      <w:rPr>
        <w:rFonts w:ascii="Courier New" w:hAnsi="Courier New" w:cs="Courier New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>
    <w:pPr>
      <w:pStyle w:val="Sidefod"/>
      <w:tabs>
        <w:tab w:val="clear" w:pos="4819"/>
        <w:tab w:val="clear" w:pos="9638"/>
        <w:tab w:val="left" w:pos="2211"/>
      </w:tabs>
    </w:pPr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4E1A5A">
      <w:rPr>
        <w:rStyle w:val="Sidetal"/>
        <w:noProof/>
      </w:rPr>
      <w:t>3</w:t>
    </w:r>
    <w:r>
      <w:rPr>
        <w:rStyle w:val="Sidetal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 w:rsidP="00BC5A19">
    <w:pPr>
      <w:pStyle w:val="Sidefod"/>
      <w:ind w:firstLine="130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03" w:rsidRDefault="006A5003" w:rsidP="00E816D9">
      <w:r>
        <w:separator/>
      </w:r>
    </w:p>
  </w:footnote>
  <w:footnote w:type="continuationSeparator" w:id="0">
    <w:p w:rsidR="006A5003" w:rsidRDefault="006A5003" w:rsidP="00E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ign2000" w:val="ok"/>
    <w:docVar w:name="NotatXP" w:val="ok"/>
    <w:docVar w:name="Office2010" w:val="1"/>
  </w:docVars>
  <w:rsids>
    <w:rsidRoot w:val="00C95F38"/>
    <w:rsid w:val="0001253D"/>
    <w:rsid w:val="00036441"/>
    <w:rsid w:val="000553B1"/>
    <w:rsid w:val="00056AEA"/>
    <w:rsid w:val="00065CAA"/>
    <w:rsid w:val="00066A92"/>
    <w:rsid w:val="000C0111"/>
    <w:rsid w:val="000E408D"/>
    <w:rsid w:val="000F225A"/>
    <w:rsid w:val="00126A89"/>
    <w:rsid w:val="00135440"/>
    <w:rsid w:val="001A24CC"/>
    <w:rsid w:val="001C42BD"/>
    <w:rsid w:val="001E2EB1"/>
    <w:rsid w:val="00216E61"/>
    <w:rsid w:val="002544EF"/>
    <w:rsid w:val="00292888"/>
    <w:rsid w:val="002A1914"/>
    <w:rsid w:val="00332DE5"/>
    <w:rsid w:val="00335E65"/>
    <w:rsid w:val="00353326"/>
    <w:rsid w:val="00390B6C"/>
    <w:rsid w:val="00392C71"/>
    <w:rsid w:val="003B1BD3"/>
    <w:rsid w:val="003E0228"/>
    <w:rsid w:val="004029D3"/>
    <w:rsid w:val="00405A07"/>
    <w:rsid w:val="004079D8"/>
    <w:rsid w:val="00426D92"/>
    <w:rsid w:val="00435850"/>
    <w:rsid w:val="004874BA"/>
    <w:rsid w:val="00492D83"/>
    <w:rsid w:val="004B589E"/>
    <w:rsid w:val="004C5FDA"/>
    <w:rsid w:val="004E1A5A"/>
    <w:rsid w:val="004E26B6"/>
    <w:rsid w:val="00564D4E"/>
    <w:rsid w:val="005721F1"/>
    <w:rsid w:val="005929C2"/>
    <w:rsid w:val="005E7ED1"/>
    <w:rsid w:val="00611F38"/>
    <w:rsid w:val="00666874"/>
    <w:rsid w:val="00673F98"/>
    <w:rsid w:val="00675689"/>
    <w:rsid w:val="006809C7"/>
    <w:rsid w:val="00690995"/>
    <w:rsid w:val="006914C1"/>
    <w:rsid w:val="006A5003"/>
    <w:rsid w:val="0070043C"/>
    <w:rsid w:val="0074369F"/>
    <w:rsid w:val="007938EE"/>
    <w:rsid w:val="0079594D"/>
    <w:rsid w:val="007A5080"/>
    <w:rsid w:val="007A6CCD"/>
    <w:rsid w:val="007D2D47"/>
    <w:rsid w:val="008213CA"/>
    <w:rsid w:val="00826C04"/>
    <w:rsid w:val="008545ED"/>
    <w:rsid w:val="008B1D85"/>
    <w:rsid w:val="008B404D"/>
    <w:rsid w:val="00907BD2"/>
    <w:rsid w:val="00990050"/>
    <w:rsid w:val="009C3AD7"/>
    <w:rsid w:val="009F78B2"/>
    <w:rsid w:val="00A15D15"/>
    <w:rsid w:val="00A53FE8"/>
    <w:rsid w:val="00AA387B"/>
    <w:rsid w:val="00AC41D4"/>
    <w:rsid w:val="00AD324A"/>
    <w:rsid w:val="00B204F0"/>
    <w:rsid w:val="00B32D89"/>
    <w:rsid w:val="00B630E6"/>
    <w:rsid w:val="00BC1DAC"/>
    <w:rsid w:val="00BC5A19"/>
    <w:rsid w:val="00C07C5A"/>
    <w:rsid w:val="00C539EC"/>
    <w:rsid w:val="00C66CE5"/>
    <w:rsid w:val="00C71B95"/>
    <w:rsid w:val="00C95F38"/>
    <w:rsid w:val="00CA0C8E"/>
    <w:rsid w:val="00CC1F53"/>
    <w:rsid w:val="00CC36D8"/>
    <w:rsid w:val="00CC6BBC"/>
    <w:rsid w:val="00CF4972"/>
    <w:rsid w:val="00CF54D3"/>
    <w:rsid w:val="00D0458B"/>
    <w:rsid w:val="00D2287A"/>
    <w:rsid w:val="00D35EBF"/>
    <w:rsid w:val="00D548E5"/>
    <w:rsid w:val="00D556A0"/>
    <w:rsid w:val="00D63BA8"/>
    <w:rsid w:val="00D64D4D"/>
    <w:rsid w:val="00D720BF"/>
    <w:rsid w:val="00DC1F87"/>
    <w:rsid w:val="00DE20A2"/>
    <w:rsid w:val="00E30C6A"/>
    <w:rsid w:val="00E50A9C"/>
    <w:rsid w:val="00E816D9"/>
    <w:rsid w:val="00EA4B4C"/>
    <w:rsid w:val="00EC38F1"/>
    <w:rsid w:val="00F729E1"/>
    <w:rsid w:val="00F75E10"/>
    <w:rsid w:val="00F77576"/>
    <w:rsid w:val="00FB7F6A"/>
    <w:rsid w:val="00FC750C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38"/>
    <w:pPr>
      <w:jc w:val="both"/>
    </w:pPr>
    <w:rPr>
      <w:rFonts w:ascii="Charter" w:hAnsi="Charter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uiPriority w:val="99"/>
    <w:semiHidden/>
    <w:rsid w:val="008545ED"/>
    <w:rPr>
      <w:color w:val="808080"/>
    </w:rPr>
  </w:style>
  <w:style w:type="table" w:styleId="Tabel-Gitter">
    <w:name w:val="Table Grid"/>
    <w:basedOn w:val="Tabel-Normal"/>
    <w:rsid w:val="00C95F38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semiHidden/>
    <w:rsid w:val="00C95F3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C95F38"/>
    <w:rPr>
      <w:sz w:val="20"/>
      <w:szCs w:val="20"/>
    </w:rPr>
  </w:style>
  <w:style w:type="character" w:customStyle="1" w:styleId="KommentartekstTegn">
    <w:name w:val="Kommentartekst Tegn"/>
    <w:link w:val="Kommentartekst"/>
    <w:semiHidden/>
    <w:rsid w:val="00C95F38"/>
    <w:rPr>
      <w:rFonts w:ascii="Charter" w:eastAsia="Times New Roman" w:hAnsi="Charter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38"/>
    <w:pPr>
      <w:jc w:val="both"/>
    </w:pPr>
    <w:rPr>
      <w:rFonts w:ascii="Charter" w:hAnsi="Charter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uiPriority w:val="99"/>
    <w:semiHidden/>
    <w:rsid w:val="008545ED"/>
    <w:rPr>
      <w:color w:val="808080"/>
    </w:rPr>
  </w:style>
  <w:style w:type="table" w:styleId="Tabel-Gitter">
    <w:name w:val="Table Grid"/>
    <w:basedOn w:val="Tabel-Normal"/>
    <w:rsid w:val="00C95F38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semiHidden/>
    <w:rsid w:val="00C95F3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C95F38"/>
    <w:rPr>
      <w:sz w:val="20"/>
      <w:szCs w:val="20"/>
    </w:rPr>
  </w:style>
  <w:style w:type="character" w:customStyle="1" w:styleId="KommentartekstTegn">
    <w:name w:val="Kommentartekst Tegn"/>
    <w:link w:val="Kommentartekst"/>
    <w:semiHidden/>
    <w:rsid w:val="00C95F38"/>
    <w:rPr>
      <w:rFonts w:ascii="Charter" w:eastAsia="Times New Roman" w:hAnsi="Chart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s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0</TotalTime>
  <Pages>3</Pages>
  <Words>726</Words>
  <Characters>4722</Characters>
  <Application>Microsoft Office Word</Application>
  <DocSecurity>0</DocSecurity>
  <Lines>188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Ændringer i formueopgørelserne</vt:lpstr>
    </vt:vector>
  </TitlesOfParts>
  <Company>Danmarks Statistik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Ændringer i formueopgørelserne</dc:title>
  <dc:subject/>
  <dc:creator>Peter Elmer Lauritsen</dc:creator>
  <cp:keywords/>
  <dc:description/>
  <cp:lastModifiedBy>Peter Elmer Lauritsen</cp:lastModifiedBy>
  <cp:revision>2</cp:revision>
  <dcterms:created xsi:type="dcterms:W3CDTF">2011-07-04T13:08:00Z</dcterms:created>
  <dcterms:modified xsi:type="dcterms:W3CDTF">2011-07-04T13:08:00Z</dcterms:modified>
</cp:coreProperties>
</file>