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5C7" w:rsidRPr="00AB058A" w:rsidRDefault="00AB058A" w:rsidP="00CF45C7">
      <w:pPr>
        <w:pStyle w:val="a3"/>
        <w:rPr>
          <w:rFonts w:ascii="Times New Roman" w:hAnsi="Times New Roman"/>
          <w:b/>
          <w:lang w:val="ru-RU"/>
        </w:rPr>
      </w:pPr>
      <w:bookmarkStart w:id="0" w:name="_GoBack"/>
      <w:bookmarkEnd w:id="0"/>
      <w:r>
        <w:rPr>
          <w:rFonts w:ascii="Times New Roman" w:hAnsi="Times New Roman"/>
          <w:b/>
          <w:lang w:val="ru-RU"/>
        </w:rPr>
        <w:t xml:space="preserve">ПРОЕКТ </w:t>
      </w:r>
      <w:r>
        <w:rPr>
          <w:rFonts w:ascii="Times New Roman" w:hAnsi="Times New Roman"/>
          <w:b/>
          <w:lang w:val="en-US"/>
        </w:rPr>
        <w:t>TWINNING</w:t>
      </w:r>
    </w:p>
    <w:p w:rsidR="00CF45C7" w:rsidRPr="00AB058A" w:rsidRDefault="00CF45C7" w:rsidP="00CF45C7">
      <w:pPr>
        <w:pStyle w:val="a3"/>
        <w:rPr>
          <w:rFonts w:ascii="Times New Roman" w:hAnsi="Times New Roman"/>
          <w:b/>
          <w:lang w:val="ru-RU"/>
        </w:rPr>
      </w:pPr>
    </w:p>
    <w:p w:rsidR="00AB058A" w:rsidRPr="00AB058A" w:rsidRDefault="00AB058A" w:rsidP="00CF45C7">
      <w:pPr>
        <w:jc w:val="center"/>
        <w:rPr>
          <w:b/>
          <w:spacing w:val="10"/>
          <w:sz w:val="40"/>
          <w:szCs w:val="40"/>
          <w:lang w:val="ru-RU"/>
        </w:rPr>
      </w:pPr>
      <w:r w:rsidRPr="00AB058A">
        <w:rPr>
          <w:b/>
          <w:spacing w:val="10"/>
          <w:sz w:val="40"/>
          <w:szCs w:val="40"/>
          <w:lang w:val="uk-UA"/>
        </w:rPr>
        <w:t>Сприяння процесам удосконалення Державної служби статистики України з метою покращення її потенціалу та продукції</w:t>
      </w:r>
    </w:p>
    <w:p w:rsidR="00CF45C7" w:rsidRPr="00346212" w:rsidRDefault="00CF45C7" w:rsidP="00CF45C7">
      <w:pPr>
        <w:jc w:val="center"/>
        <w:rPr>
          <w:b/>
          <w:snapToGrid w:val="0"/>
          <w:sz w:val="40"/>
          <w:szCs w:val="20"/>
          <w:lang w:val="ru-RU" w:eastAsia="en-GB"/>
        </w:rPr>
      </w:pPr>
    </w:p>
    <w:p w:rsidR="00CF45C7" w:rsidRPr="00AB058A" w:rsidRDefault="00AB058A" w:rsidP="00CF45C7">
      <w:pPr>
        <w:jc w:val="center"/>
        <w:rPr>
          <w:b/>
          <w:snapToGrid w:val="0"/>
          <w:sz w:val="40"/>
          <w:szCs w:val="20"/>
          <w:lang w:val="uk-UA" w:eastAsia="en-GB"/>
        </w:rPr>
      </w:pPr>
      <w:r>
        <w:rPr>
          <w:b/>
          <w:snapToGrid w:val="0"/>
          <w:sz w:val="40"/>
          <w:szCs w:val="20"/>
          <w:lang w:val="ru-RU" w:eastAsia="en-GB"/>
        </w:rPr>
        <w:t>Укра</w:t>
      </w:r>
      <w:r>
        <w:rPr>
          <w:b/>
          <w:snapToGrid w:val="0"/>
          <w:sz w:val="40"/>
          <w:szCs w:val="20"/>
          <w:lang w:val="uk-UA" w:eastAsia="en-GB"/>
        </w:rPr>
        <w:t>їна</w:t>
      </w:r>
    </w:p>
    <w:p w:rsidR="004E1B1F" w:rsidRPr="00AB058A" w:rsidRDefault="004E1B1F" w:rsidP="004E1B1F">
      <w:pPr>
        <w:jc w:val="both"/>
        <w:rPr>
          <w:b/>
          <w:sz w:val="16"/>
          <w:lang w:val="ru-RU"/>
        </w:rPr>
      </w:pPr>
    </w:p>
    <w:p w:rsidR="004E1B1F" w:rsidRPr="00AB058A" w:rsidRDefault="004E1B1F" w:rsidP="004E1B1F">
      <w:pPr>
        <w:jc w:val="both"/>
        <w:rPr>
          <w:b/>
          <w:sz w:val="16"/>
          <w:lang w:val="ru-RU"/>
        </w:rPr>
      </w:pPr>
    </w:p>
    <w:p w:rsidR="004E1B1F" w:rsidRPr="00AB058A" w:rsidRDefault="004E1B1F" w:rsidP="004E1B1F">
      <w:pPr>
        <w:jc w:val="both"/>
        <w:rPr>
          <w:b/>
          <w:sz w:val="16"/>
          <w:lang w:val="ru-RU"/>
        </w:rPr>
      </w:pPr>
    </w:p>
    <w:p w:rsidR="004E1B1F" w:rsidRPr="00AB058A" w:rsidRDefault="004E1B1F" w:rsidP="004E1B1F">
      <w:pPr>
        <w:jc w:val="both"/>
        <w:rPr>
          <w:b/>
          <w:sz w:val="16"/>
          <w:lang w:val="ru-RU"/>
        </w:rPr>
      </w:pPr>
    </w:p>
    <w:p w:rsidR="004E1B1F" w:rsidRPr="00AB058A" w:rsidRDefault="004E1B1F" w:rsidP="004E1B1F">
      <w:pPr>
        <w:jc w:val="both"/>
        <w:rPr>
          <w:b/>
          <w:sz w:val="16"/>
          <w:lang w:val="ru-RU"/>
        </w:rPr>
      </w:pPr>
    </w:p>
    <w:p w:rsidR="004E1B1F" w:rsidRPr="00AB058A" w:rsidRDefault="004E1B1F" w:rsidP="004E1B1F">
      <w:pPr>
        <w:jc w:val="both"/>
        <w:rPr>
          <w:sz w:val="28"/>
          <w:lang w:val="ru-RU"/>
        </w:rPr>
      </w:pPr>
    </w:p>
    <w:p w:rsidR="004E1B1F" w:rsidRPr="00AB058A" w:rsidRDefault="004E1B1F" w:rsidP="004E1B1F">
      <w:pPr>
        <w:jc w:val="both"/>
        <w:rPr>
          <w:sz w:val="28"/>
          <w:lang w:val="ru-RU"/>
        </w:rPr>
      </w:pPr>
    </w:p>
    <w:p w:rsidR="004E1B1F" w:rsidRPr="00AB058A" w:rsidRDefault="00D73655" w:rsidP="004E1B1F">
      <w:pPr>
        <w:jc w:val="both"/>
        <w:rPr>
          <w:sz w:val="28"/>
          <w:lang w:val="ru-RU"/>
        </w:rPr>
      </w:pPr>
      <w:r>
        <w:rPr>
          <w:noProof/>
          <w:lang w:val="uk-UA" w:eastAsia="uk-UA"/>
        </w:rPr>
        <w:drawing>
          <wp:anchor distT="0" distB="0" distL="114300" distR="114300" simplePos="0" relativeHeight="251657728" behindDoc="0" locked="1" layoutInCell="0" allowOverlap="1">
            <wp:simplePos x="0" y="0"/>
            <wp:positionH relativeFrom="column">
              <wp:posOffset>2167890</wp:posOffset>
            </wp:positionH>
            <wp:positionV relativeFrom="paragraph">
              <wp:posOffset>-639445</wp:posOffset>
            </wp:positionV>
            <wp:extent cx="1463040" cy="948690"/>
            <wp:effectExtent l="19050" t="0" r="3810" b="0"/>
            <wp:wrapNone/>
            <wp:docPr id="3" name="Picture 2"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9" cstate="print"/>
                    <a:srcRect/>
                    <a:stretch>
                      <a:fillRect/>
                    </a:stretch>
                  </pic:blipFill>
                  <pic:spPr bwMode="auto">
                    <a:xfrm>
                      <a:off x="0" y="0"/>
                      <a:ext cx="1463040" cy="948690"/>
                    </a:xfrm>
                    <a:prstGeom prst="rect">
                      <a:avLst/>
                    </a:prstGeom>
                    <a:noFill/>
                    <a:ln w="9525">
                      <a:noFill/>
                      <a:miter lim="800000"/>
                      <a:headEnd/>
                      <a:tailEnd/>
                    </a:ln>
                  </pic:spPr>
                </pic:pic>
              </a:graphicData>
            </a:graphic>
          </wp:anchor>
        </w:drawing>
      </w:r>
    </w:p>
    <w:p w:rsidR="004E1B1F" w:rsidRPr="00AB058A" w:rsidRDefault="004E1B1F" w:rsidP="004E1B1F">
      <w:pPr>
        <w:jc w:val="both"/>
        <w:rPr>
          <w:sz w:val="28"/>
          <w:lang w:val="ru-RU"/>
        </w:rPr>
      </w:pPr>
    </w:p>
    <w:p w:rsidR="004E1B1F" w:rsidRPr="00AB058A" w:rsidRDefault="004E1B1F" w:rsidP="004E1B1F">
      <w:pPr>
        <w:jc w:val="both"/>
        <w:rPr>
          <w:lang w:val="ru-RU"/>
        </w:rPr>
      </w:pPr>
    </w:p>
    <w:p w:rsidR="004E1B1F" w:rsidRPr="00AB058A" w:rsidRDefault="004E1B1F" w:rsidP="004E1B1F">
      <w:pPr>
        <w:jc w:val="both"/>
        <w:rPr>
          <w:lang w:val="ru-RU"/>
        </w:rPr>
      </w:pPr>
    </w:p>
    <w:p w:rsidR="004E1B1F" w:rsidRPr="00AB058A" w:rsidRDefault="004E1B1F" w:rsidP="00CF45C7">
      <w:pPr>
        <w:rPr>
          <w:lang w:val="ru-RU"/>
        </w:rPr>
      </w:pPr>
    </w:p>
    <w:p w:rsidR="004E1B1F" w:rsidRPr="00AB058A" w:rsidRDefault="004E1B1F" w:rsidP="00CF45C7">
      <w:pPr>
        <w:rPr>
          <w:sz w:val="40"/>
          <w:lang w:val="ru-RU"/>
        </w:rPr>
      </w:pPr>
    </w:p>
    <w:p w:rsidR="004E1B1F" w:rsidRPr="00AB058A" w:rsidRDefault="00AB058A" w:rsidP="004E1B1F">
      <w:pPr>
        <w:jc w:val="center"/>
        <w:outlineLvl w:val="0"/>
        <w:rPr>
          <w:b/>
          <w:sz w:val="40"/>
          <w:lang w:val="uk-UA"/>
        </w:rPr>
      </w:pPr>
      <w:r>
        <w:rPr>
          <w:b/>
          <w:sz w:val="40"/>
          <w:lang w:val="uk-UA"/>
        </w:rPr>
        <w:t>ЗВІТ ПРО РОБОТУ МІСІЇ</w:t>
      </w:r>
    </w:p>
    <w:p w:rsidR="004E1B1F" w:rsidRPr="00AB058A" w:rsidRDefault="004E1B1F" w:rsidP="004E1B1F">
      <w:pPr>
        <w:jc w:val="center"/>
        <w:rPr>
          <w:b/>
          <w:sz w:val="28"/>
          <w:lang w:val="ru-RU"/>
        </w:rPr>
      </w:pPr>
    </w:p>
    <w:p w:rsidR="004E1B1F" w:rsidRPr="00AB058A" w:rsidRDefault="00AB058A" w:rsidP="004E1B1F">
      <w:pPr>
        <w:jc w:val="center"/>
        <w:rPr>
          <w:b/>
          <w:sz w:val="28"/>
          <w:lang w:val="uk-UA"/>
        </w:rPr>
      </w:pPr>
      <w:r>
        <w:rPr>
          <w:b/>
          <w:sz w:val="28"/>
          <w:lang w:val="uk-UA"/>
        </w:rPr>
        <w:t>щодо</w:t>
      </w:r>
    </w:p>
    <w:p w:rsidR="004E1B1F" w:rsidRPr="00AB058A" w:rsidRDefault="004E1B1F" w:rsidP="004E1B1F">
      <w:pPr>
        <w:jc w:val="center"/>
        <w:rPr>
          <w:b/>
          <w:sz w:val="28"/>
          <w:lang w:val="ru-RU"/>
        </w:rPr>
      </w:pPr>
    </w:p>
    <w:p w:rsidR="00AB058A" w:rsidRPr="00314001" w:rsidRDefault="00AB058A" w:rsidP="00AB058A">
      <w:pPr>
        <w:jc w:val="center"/>
        <w:rPr>
          <w:lang w:val="uk-UA" w:eastAsia="uk-UA"/>
        </w:rPr>
      </w:pPr>
      <w:r>
        <w:rPr>
          <w:sz w:val="32"/>
          <w:lang w:val="uk-UA"/>
        </w:rPr>
        <w:t>Компонент</w:t>
      </w:r>
      <w:r w:rsidR="0075574F" w:rsidRPr="00AB058A">
        <w:rPr>
          <w:sz w:val="32"/>
          <w:lang w:val="ru-RU"/>
        </w:rPr>
        <w:t xml:space="preserve"> 3: </w:t>
      </w:r>
      <w:r w:rsidRPr="00AB058A">
        <w:rPr>
          <w:iCs/>
          <w:sz w:val="32"/>
          <w:szCs w:val="32"/>
          <w:lang w:val="uk-UA"/>
        </w:rPr>
        <w:t>Індекс споживчих цін (ІСЦ): звіти з якості</w:t>
      </w:r>
      <w:r>
        <w:rPr>
          <w:iCs/>
          <w:sz w:val="32"/>
          <w:szCs w:val="32"/>
          <w:lang w:val="uk-UA"/>
        </w:rPr>
        <w:t>.</w:t>
      </w:r>
    </w:p>
    <w:p w:rsidR="004E1B1F" w:rsidRPr="00AB058A" w:rsidRDefault="00AB058A" w:rsidP="004E1B1F">
      <w:pPr>
        <w:jc w:val="center"/>
        <w:rPr>
          <w:sz w:val="28"/>
          <w:lang w:val="uk-UA"/>
        </w:rPr>
      </w:pPr>
      <w:r>
        <w:rPr>
          <w:sz w:val="32"/>
          <w:lang w:val="uk-UA"/>
        </w:rPr>
        <w:t>Захід</w:t>
      </w:r>
      <w:r w:rsidR="0075574F" w:rsidRPr="00346212">
        <w:rPr>
          <w:sz w:val="32"/>
          <w:lang w:val="ru-RU"/>
        </w:rPr>
        <w:t xml:space="preserve"> 3.1: </w:t>
      </w:r>
      <w:r>
        <w:rPr>
          <w:sz w:val="32"/>
          <w:lang w:val="uk-UA"/>
        </w:rPr>
        <w:t>оціночна місія</w:t>
      </w:r>
    </w:p>
    <w:p w:rsidR="004E1B1F" w:rsidRPr="00346212" w:rsidRDefault="004E1B1F" w:rsidP="004E1B1F">
      <w:pPr>
        <w:jc w:val="center"/>
        <w:rPr>
          <w:sz w:val="28"/>
          <w:lang w:val="ru-RU"/>
        </w:rPr>
      </w:pPr>
    </w:p>
    <w:p w:rsidR="004E1B1F" w:rsidRPr="00346212" w:rsidRDefault="00AB058A" w:rsidP="004E1B1F">
      <w:pPr>
        <w:pStyle w:val="7"/>
        <w:rPr>
          <w:rFonts w:ascii="Times New Roman" w:hAnsi="Times New Roman"/>
          <w:lang w:val="ru-RU"/>
        </w:rPr>
      </w:pPr>
      <w:r>
        <w:rPr>
          <w:rFonts w:ascii="Times New Roman" w:hAnsi="Times New Roman"/>
          <w:lang w:val="uk-UA"/>
        </w:rPr>
        <w:t>Компоненти</w:t>
      </w:r>
      <w:r w:rsidRPr="00346212">
        <w:rPr>
          <w:rFonts w:ascii="Times New Roman" w:hAnsi="Times New Roman"/>
          <w:lang w:val="ru-RU"/>
        </w:rPr>
        <w:t xml:space="preserve"> </w:t>
      </w:r>
      <w:r>
        <w:rPr>
          <w:rFonts w:ascii="Times New Roman" w:hAnsi="Times New Roman"/>
          <w:lang w:val="uk-UA"/>
        </w:rPr>
        <w:t>№</w:t>
      </w:r>
      <w:r w:rsidR="004E1B1F" w:rsidRPr="00346212">
        <w:rPr>
          <w:rFonts w:ascii="Times New Roman" w:hAnsi="Times New Roman"/>
          <w:lang w:val="ru-RU"/>
        </w:rPr>
        <w:t xml:space="preserve"> </w:t>
      </w:r>
      <w:r w:rsidR="0075574F" w:rsidRPr="00346212">
        <w:rPr>
          <w:rFonts w:ascii="Times New Roman" w:hAnsi="Times New Roman"/>
          <w:lang w:val="ru-RU"/>
        </w:rPr>
        <w:t>3.1</w:t>
      </w:r>
    </w:p>
    <w:p w:rsidR="004E1B1F" w:rsidRPr="00346212" w:rsidRDefault="004E1B1F" w:rsidP="004E1B1F">
      <w:pPr>
        <w:jc w:val="center"/>
        <w:rPr>
          <w:b/>
          <w:lang w:val="ru-RU"/>
        </w:rPr>
      </w:pPr>
    </w:p>
    <w:p w:rsidR="004E1B1F" w:rsidRPr="00346212" w:rsidRDefault="004E1B1F" w:rsidP="004E1B1F">
      <w:pPr>
        <w:jc w:val="center"/>
        <w:rPr>
          <w:b/>
          <w:lang w:val="ru-RU"/>
        </w:rPr>
      </w:pPr>
    </w:p>
    <w:p w:rsidR="004E1B1F" w:rsidRPr="00AB058A" w:rsidRDefault="00AB058A" w:rsidP="004E1B1F">
      <w:pPr>
        <w:spacing w:line="288" w:lineRule="auto"/>
        <w:jc w:val="center"/>
        <w:outlineLvl w:val="0"/>
        <w:rPr>
          <w:sz w:val="22"/>
          <w:lang w:val="ru-RU"/>
        </w:rPr>
      </w:pPr>
      <w:r w:rsidRPr="00346212">
        <w:rPr>
          <w:sz w:val="22"/>
          <w:lang w:val="ru-RU"/>
        </w:rPr>
        <w:tab/>
      </w:r>
      <w:r>
        <w:rPr>
          <w:sz w:val="22"/>
          <w:lang w:val="uk-UA"/>
        </w:rPr>
        <w:t xml:space="preserve">У місії брав участь Девід Фенвік, приватний консультант Служби статистики Данії       </w:t>
      </w:r>
      <w:r w:rsidR="004E1B1F" w:rsidRPr="00AB058A">
        <w:rPr>
          <w:sz w:val="22"/>
          <w:lang w:val="ru-RU"/>
        </w:rPr>
        <w:tab/>
      </w:r>
      <w:r w:rsidR="004E1B1F" w:rsidRPr="00AB058A">
        <w:rPr>
          <w:sz w:val="22"/>
          <w:lang w:val="ru-RU"/>
        </w:rPr>
        <w:tab/>
      </w:r>
      <w:r w:rsidR="004E1B1F" w:rsidRPr="00AB058A">
        <w:rPr>
          <w:sz w:val="22"/>
          <w:lang w:val="ru-RU"/>
        </w:rPr>
        <w:tab/>
      </w:r>
      <w:r w:rsidR="004E1B1F" w:rsidRPr="00AB058A">
        <w:rPr>
          <w:sz w:val="22"/>
          <w:lang w:val="ru-RU"/>
        </w:rPr>
        <w:tab/>
      </w:r>
      <w:r w:rsidR="004E1B1F" w:rsidRPr="00AB058A">
        <w:rPr>
          <w:sz w:val="22"/>
          <w:lang w:val="ru-RU"/>
        </w:rPr>
        <w:tab/>
      </w:r>
    </w:p>
    <w:p w:rsidR="004E1B1F" w:rsidRPr="00AD3566" w:rsidRDefault="00381C66" w:rsidP="00381C66">
      <w:pPr>
        <w:spacing w:line="288" w:lineRule="auto"/>
        <w:jc w:val="center"/>
        <w:outlineLvl w:val="0"/>
        <w:rPr>
          <w:sz w:val="22"/>
        </w:rPr>
      </w:pPr>
      <w:r>
        <w:rPr>
          <w:sz w:val="22"/>
        </w:rPr>
        <w:t>27</w:t>
      </w:r>
      <w:r w:rsidR="0075574F">
        <w:rPr>
          <w:sz w:val="22"/>
        </w:rPr>
        <w:t xml:space="preserve"> - 30 </w:t>
      </w:r>
      <w:r w:rsidR="00AB058A">
        <w:rPr>
          <w:sz w:val="22"/>
          <w:lang w:val="uk-UA"/>
        </w:rPr>
        <w:t>жовтня</w:t>
      </w:r>
      <w:r w:rsidR="0075574F">
        <w:rPr>
          <w:sz w:val="22"/>
        </w:rPr>
        <w:t xml:space="preserve"> 2014</w:t>
      </w:r>
    </w:p>
    <w:p w:rsidR="004E1B1F" w:rsidRPr="00AD3566" w:rsidRDefault="004E1B1F" w:rsidP="004E1B1F">
      <w:pPr>
        <w:jc w:val="both"/>
        <w:rPr>
          <w:sz w:val="22"/>
        </w:rPr>
      </w:pPr>
    </w:p>
    <w:p w:rsidR="00EC5432" w:rsidRPr="00AB058A" w:rsidRDefault="00AB058A" w:rsidP="00EC5432">
      <w:pPr>
        <w:jc w:val="center"/>
        <w:rPr>
          <w:sz w:val="22"/>
          <w:lang w:val="uk-UA"/>
        </w:rPr>
      </w:pPr>
      <w:r>
        <w:rPr>
          <w:sz w:val="22"/>
          <w:lang w:val="uk-UA"/>
        </w:rPr>
        <w:t>Версія</w:t>
      </w:r>
      <w:r>
        <w:rPr>
          <w:sz w:val="22"/>
        </w:rPr>
        <w:t xml:space="preserve">: </w:t>
      </w:r>
      <w:r>
        <w:rPr>
          <w:sz w:val="22"/>
          <w:lang w:val="uk-UA"/>
        </w:rPr>
        <w:t>Проект №1</w:t>
      </w:r>
    </w:p>
    <w:p w:rsidR="004E1B1F" w:rsidRPr="00AD3566" w:rsidRDefault="004E1B1F" w:rsidP="004E1B1F">
      <w:pPr>
        <w:jc w:val="both"/>
        <w:rPr>
          <w:sz w:val="22"/>
        </w:rPr>
      </w:pPr>
    </w:p>
    <w:p w:rsidR="004E1B1F" w:rsidRPr="00AD3566" w:rsidRDefault="004E1B1F" w:rsidP="004E1B1F">
      <w:pPr>
        <w:jc w:val="center"/>
        <w:rPr>
          <w:sz w:val="22"/>
        </w:rPr>
      </w:pPr>
    </w:p>
    <w:p w:rsidR="004E1B1F" w:rsidRPr="00AD3566" w:rsidRDefault="004E1B1F" w:rsidP="004E1B1F">
      <w:pPr>
        <w:jc w:val="center"/>
        <w:rPr>
          <w:sz w:val="22"/>
        </w:rPr>
      </w:pPr>
    </w:p>
    <w:p w:rsidR="004E1B1F" w:rsidRPr="00AD3566" w:rsidRDefault="004E1B1F" w:rsidP="004E1B1F">
      <w:pPr>
        <w:jc w:val="center"/>
        <w:rPr>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67"/>
        <w:gridCol w:w="2234"/>
        <w:gridCol w:w="3687"/>
      </w:tblGrid>
      <w:tr w:rsidR="004E1B1F" w:rsidRPr="00AD3566">
        <w:trPr>
          <w:trHeight w:val="546"/>
        </w:trPr>
        <w:tc>
          <w:tcPr>
            <w:tcW w:w="3367" w:type="dxa"/>
            <w:shd w:val="clear" w:color="auto" w:fill="FFFFFF"/>
          </w:tcPr>
          <w:p w:rsidR="004E1B1F" w:rsidRPr="00AD3566" w:rsidRDefault="004E1B1F" w:rsidP="004E1B1F">
            <w:pPr>
              <w:jc w:val="center"/>
              <w:rPr>
                <w:sz w:val="22"/>
              </w:rPr>
            </w:pPr>
          </w:p>
        </w:tc>
        <w:tc>
          <w:tcPr>
            <w:tcW w:w="2234" w:type="dxa"/>
            <w:shd w:val="clear" w:color="auto" w:fill="FFFFFF"/>
          </w:tcPr>
          <w:p w:rsidR="004E1B1F" w:rsidRPr="00AD3566" w:rsidRDefault="004E1B1F" w:rsidP="004E1B1F">
            <w:pPr>
              <w:pStyle w:val="a3"/>
              <w:rPr>
                <w:rFonts w:ascii="Times New Roman" w:hAnsi="Times New Roman"/>
                <w:sz w:val="22"/>
              </w:rPr>
            </w:pPr>
          </w:p>
        </w:tc>
        <w:tc>
          <w:tcPr>
            <w:tcW w:w="3687" w:type="dxa"/>
            <w:shd w:val="clear" w:color="auto" w:fill="FFFFFF"/>
          </w:tcPr>
          <w:p w:rsidR="004E1B1F" w:rsidRPr="00AD3566" w:rsidRDefault="00D73655" w:rsidP="004E1B1F">
            <w:pPr>
              <w:pStyle w:val="a3"/>
              <w:rPr>
                <w:rFonts w:ascii="Times New Roman" w:hAnsi="Times New Roman"/>
                <w:sz w:val="22"/>
              </w:rPr>
            </w:pPr>
            <w:r>
              <w:rPr>
                <w:rFonts w:ascii="Times New Roman" w:hAnsi="Times New Roman"/>
                <w:noProof/>
                <w:sz w:val="22"/>
                <w:lang w:val="uk-UA" w:eastAsia="uk-UA"/>
              </w:rPr>
              <w:drawing>
                <wp:inline distT="0" distB="0" distL="0" distR="0">
                  <wp:extent cx="1206500" cy="444500"/>
                  <wp:effectExtent l="19050" t="0" r="0" b="0"/>
                  <wp:docPr id="1" name="Picture 1" descr="LOG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k"/>
                          <pic:cNvPicPr>
                            <a:picLocks noChangeAspect="1" noChangeArrowheads="1"/>
                          </pic:cNvPicPr>
                        </pic:nvPicPr>
                        <pic:blipFill>
                          <a:blip r:embed="rId10" cstate="print"/>
                          <a:srcRect/>
                          <a:stretch>
                            <a:fillRect/>
                          </a:stretch>
                        </pic:blipFill>
                        <pic:spPr bwMode="auto">
                          <a:xfrm>
                            <a:off x="0" y="0"/>
                            <a:ext cx="1206500" cy="444500"/>
                          </a:xfrm>
                          <a:prstGeom prst="rect">
                            <a:avLst/>
                          </a:prstGeom>
                          <a:noFill/>
                          <a:ln w="9525">
                            <a:noFill/>
                            <a:miter lim="800000"/>
                            <a:headEnd/>
                            <a:tailEnd/>
                          </a:ln>
                        </pic:spPr>
                      </pic:pic>
                    </a:graphicData>
                  </a:graphic>
                </wp:inline>
              </w:drawing>
            </w:r>
          </w:p>
        </w:tc>
      </w:tr>
      <w:tr w:rsidR="004E1B1F" w:rsidRPr="00AD3566">
        <w:trPr>
          <w:trHeight w:val="555"/>
        </w:trPr>
        <w:tc>
          <w:tcPr>
            <w:tcW w:w="3367" w:type="dxa"/>
            <w:shd w:val="clear" w:color="auto" w:fill="FFFFFF"/>
          </w:tcPr>
          <w:p w:rsidR="004E1B1F" w:rsidRPr="00AD3566" w:rsidRDefault="004E1B1F" w:rsidP="004E1B1F">
            <w:pPr>
              <w:jc w:val="center"/>
              <w:rPr>
                <w:sz w:val="22"/>
              </w:rPr>
            </w:pPr>
          </w:p>
        </w:tc>
        <w:tc>
          <w:tcPr>
            <w:tcW w:w="2234" w:type="dxa"/>
            <w:shd w:val="clear" w:color="auto" w:fill="FFFFFF"/>
          </w:tcPr>
          <w:p w:rsidR="004E1B1F" w:rsidRPr="00AD3566" w:rsidRDefault="004E1B1F" w:rsidP="004E1B1F">
            <w:pPr>
              <w:pStyle w:val="a3"/>
              <w:rPr>
                <w:rFonts w:ascii="Times New Roman" w:hAnsi="Times New Roman"/>
                <w:sz w:val="22"/>
              </w:rPr>
            </w:pPr>
          </w:p>
        </w:tc>
        <w:tc>
          <w:tcPr>
            <w:tcW w:w="3687" w:type="dxa"/>
            <w:shd w:val="clear" w:color="auto" w:fill="FFFFFF"/>
          </w:tcPr>
          <w:p w:rsidR="004E1B1F" w:rsidRPr="00AD3566" w:rsidRDefault="004E1B1F" w:rsidP="00884A8C">
            <w:pPr>
              <w:pStyle w:val="a3"/>
              <w:rPr>
                <w:rFonts w:ascii="Times New Roman" w:hAnsi="Times New Roman"/>
                <w:sz w:val="22"/>
              </w:rPr>
            </w:pPr>
          </w:p>
        </w:tc>
      </w:tr>
    </w:tbl>
    <w:p w:rsidR="004E1B1F" w:rsidRPr="00AD3566" w:rsidRDefault="004E1B1F" w:rsidP="004E1B1F">
      <w:pPr>
        <w:jc w:val="center"/>
        <w:rPr>
          <w:i/>
          <w:sz w:val="22"/>
        </w:rPr>
      </w:pPr>
    </w:p>
    <w:p w:rsidR="001B7AC1" w:rsidRPr="00AD3566" w:rsidRDefault="001B7AC1"/>
    <w:p w:rsidR="002C4FE9" w:rsidRPr="00AD3566" w:rsidRDefault="002C4FE9" w:rsidP="002C4FE9">
      <w:pPr>
        <w:jc w:val="both"/>
        <w:outlineLvl w:val="0"/>
        <w:rPr>
          <w:b/>
          <w:i/>
          <w:sz w:val="22"/>
          <w:szCs w:val="22"/>
        </w:rPr>
      </w:pPr>
    </w:p>
    <w:p w:rsidR="00684407" w:rsidRDefault="00684407" w:rsidP="00684407">
      <w:pPr>
        <w:jc w:val="both"/>
        <w:rPr>
          <w:i/>
          <w:sz w:val="22"/>
          <w:szCs w:val="22"/>
          <w:lang w:val="uk-UA"/>
        </w:rPr>
      </w:pPr>
      <w:r>
        <w:rPr>
          <w:i/>
          <w:sz w:val="22"/>
          <w:szCs w:val="22"/>
          <w:lang w:val="uk-UA"/>
        </w:rPr>
        <w:t>Девід Фенвік</w:t>
      </w:r>
    </w:p>
    <w:p w:rsidR="00684407" w:rsidRDefault="00684407" w:rsidP="00684407">
      <w:pPr>
        <w:jc w:val="both"/>
        <w:rPr>
          <w:i/>
          <w:sz w:val="22"/>
          <w:szCs w:val="22"/>
          <w:lang w:val="uk-UA"/>
        </w:rPr>
      </w:pPr>
      <w:r>
        <w:rPr>
          <w:i/>
          <w:sz w:val="22"/>
          <w:szCs w:val="22"/>
          <w:lang w:val="uk-UA"/>
        </w:rPr>
        <w:t>Приватна адреса:</w:t>
      </w:r>
    </w:p>
    <w:p w:rsidR="00684407" w:rsidRDefault="00684407" w:rsidP="00684407">
      <w:pPr>
        <w:jc w:val="both"/>
        <w:rPr>
          <w:i/>
          <w:sz w:val="22"/>
          <w:szCs w:val="22"/>
          <w:lang w:val="uk-UA"/>
        </w:rPr>
      </w:pPr>
      <w:r>
        <w:rPr>
          <w:i/>
          <w:sz w:val="22"/>
          <w:szCs w:val="22"/>
          <w:lang w:val="uk-UA"/>
        </w:rPr>
        <w:t>22 Calverley Park</w:t>
      </w:r>
    </w:p>
    <w:p w:rsidR="00684407" w:rsidRDefault="00684407" w:rsidP="00684407">
      <w:pPr>
        <w:jc w:val="both"/>
        <w:rPr>
          <w:i/>
          <w:sz w:val="22"/>
          <w:szCs w:val="22"/>
          <w:lang w:val="uk-UA"/>
        </w:rPr>
      </w:pPr>
      <w:r>
        <w:rPr>
          <w:i/>
          <w:sz w:val="22"/>
          <w:szCs w:val="22"/>
          <w:lang w:val="uk-UA"/>
        </w:rPr>
        <w:t>Tunbridge Wells</w:t>
      </w:r>
    </w:p>
    <w:p w:rsidR="00684407" w:rsidRDefault="00684407" w:rsidP="00684407">
      <w:pPr>
        <w:jc w:val="both"/>
        <w:rPr>
          <w:i/>
          <w:sz w:val="22"/>
          <w:szCs w:val="22"/>
          <w:lang w:val="uk-UA"/>
        </w:rPr>
      </w:pPr>
      <w:r>
        <w:rPr>
          <w:i/>
          <w:sz w:val="22"/>
          <w:szCs w:val="22"/>
          <w:lang w:val="uk-UA"/>
        </w:rPr>
        <w:t>Кент TN1 2SL</w:t>
      </w:r>
    </w:p>
    <w:p w:rsidR="00684407" w:rsidRDefault="00684407" w:rsidP="00684407">
      <w:pPr>
        <w:jc w:val="both"/>
        <w:rPr>
          <w:i/>
          <w:sz w:val="22"/>
          <w:szCs w:val="22"/>
          <w:lang w:val="uk-UA"/>
        </w:rPr>
      </w:pPr>
      <w:r>
        <w:rPr>
          <w:i/>
          <w:sz w:val="22"/>
          <w:szCs w:val="22"/>
          <w:lang w:val="uk-UA"/>
        </w:rPr>
        <w:t>Велика Британія</w:t>
      </w:r>
    </w:p>
    <w:p w:rsidR="00684407" w:rsidRDefault="00684407" w:rsidP="00684407">
      <w:pPr>
        <w:jc w:val="both"/>
        <w:rPr>
          <w:i/>
          <w:sz w:val="22"/>
          <w:szCs w:val="22"/>
          <w:lang w:val="uk-UA"/>
        </w:rPr>
      </w:pPr>
      <w:r>
        <w:rPr>
          <w:i/>
          <w:sz w:val="22"/>
          <w:szCs w:val="22"/>
          <w:lang w:val="uk-UA"/>
        </w:rPr>
        <w:t>Тел.: +441892 541694</w:t>
      </w:r>
    </w:p>
    <w:p w:rsidR="00684407" w:rsidRDefault="00684407" w:rsidP="00684407">
      <w:pPr>
        <w:jc w:val="both"/>
        <w:rPr>
          <w:i/>
          <w:sz w:val="22"/>
          <w:szCs w:val="22"/>
          <w:lang w:val="uk-UA"/>
        </w:rPr>
      </w:pPr>
      <w:r>
        <w:rPr>
          <w:i/>
          <w:sz w:val="22"/>
          <w:szCs w:val="22"/>
          <w:lang w:val="uk-UA"/>
        </w:rPr>
        <w:t xml:space="preserve">Email: </w:t>
      </w:r>
      <w:hyperlink r:id="rId11" w:history="1">
        <w:r>
          <w:rPr>
            <w:rStyle w:val="a5"/>
          </w:rPr>
          <w:t>fenwickabuja</w:t>
        </w:r>
        <w:r w:rsidRPr="004E644C">
          <w:rPr>
            <w:rStyle w:val="a5"/>
            <w:lang w:val="ru-RU"/>
          </w:rPr>
          <w:t>@</w:t>
        </w:r>
        <w:r>
          <w:rPr>
            <w:rStyle w:val="a5"/>
          </w:rPr>
          <w:t>yahoo</w:t>
        </w:r>
        <w:r w:rsidRPr="004E644C">
          <w:rPr>
            <w:rStyle w:val="a5"/>
            <w:lang w:val="ru-RU"/>
          </w:rPr>
          <w:t>.</w:t>
        </w:r>
        <w:r>
          <w:rPr>
            <w:rStyle w:val="a5"/>
          </w:rPr>
          <w:t>com</w:t>
        </w:r>
      </w:hyperlink>
      <w:r>
        <w:rPr>
          <w:i/>
          <w:sz w:val="22"/>
          <w:szCs w:val="22"/>
          <w:lang w:val="uk-UA"/>
        </w:rPr>
        <w:t xml:space="preserve"> </w:t>
      </w:r>
    </w:p>
    <w:p w:rsidR="00684407" w:rsidRDefault="00684407" w:rsidP="00684407">
      <w:pPr>
        <w:jc w:val="both"/>
        <w:rPr>
          <w:i/>
          <w:sz w:val="22"/>
          <w:szCs w:val="22"/>
          <w:lang w:val="uk-UA"/>
        </w:rPr>
      </w:pPr>
    </w:p>
    <w:p w:rsidR="00684407" w:rsidRDefault="00684407" w:rsidP="00684407">
      <w:pPr>
        <w:jc w:val="both"/>
        <w:rPr>
          <w:i/>
          <w:sz w:val="22"/>
          <w:szCs w:val="22"/>
          <w:lang w:val="uk-UA"/>
        </w:rPr>
      </w:pPr>
      <w:r>
        <w:rPr>
          <w:i/>
          <w:sz w:val="22"/>
          <w:szCs w:val="22"/>
          <w:lang w:val="uk-UA"/>
        </w:rPr>
        <w:t>(Служба статистики Данії</w:t>
      </w:r>
    </w:p>
    <w:p w:rsidR="00684407" w:rsidRDefault="00684407" w:rsidP="00684407">
      <w:pPr>
        <w:jc w:val="both"/>
        <w:rPr>
          <w:i/>
          <w:sz w:val="22"/>
          <w:szCs w:val="22"/>
          <w:lang w:val="uk-UA"/>
        </w:rPr>
      </w:pPr>
      <w:r>
        <w:rPr>
          <w:i/>
          <w:sz w:val="22"/>
          <w:szCs w:val="22"/>
          <w:lang w:val="uk-UA"/>
        </w:rPr>
        <w:t>Sejrøgade 11</w:t>
      </w:r>
    </w:p>
    <w:p w:rsidR="00684407" w:rsidRDefault="00684407" w:rsidP="00684407">
      <w:pPr>
        <w:jc w:val="both"/>
        <w:rPr>
          <w:i/>
          <w:sz w:val="22"/>
          <w:szCs w:val="22"/>
          <w:lang w:val="uk-UA"/>
        </w:rPr>
      </w:pPr>
      <w:r>
        <w:rPr>
          <w:i/>
          <w:sz w:val="22"/>
          <w:szCs w:val="22"/>
          <w:lang w:val="uk-UA"/>
        </w:rPr>
        <w:t>DK-2100 Копенгаген Ø</w:t>
      </w:r>
    </w:p>
    <w:p w:rsidR="00684407" w:rsidRDefault="00684407" w:rsidP="00684407">
      <w:pPr>
        <w:jc w:val="both"/>
        <w:rPr>
          <w:i/>
          <w:sz w:val="22"/>
          <w:szCs w:val="22"/>
          <w:lang w:val="uk-UA"/>
        </w:rPr>
      </w:pPr>
      <w:r>
        <w:rPr>
          <w:i/>
          <w:sz w:val="22"/>
          <w:szCs w:val="22"/>
          <w:lang w:val="uk-UA"/>
        </w:rPr>
        <w:t>Данія)</w:t>
      </w:r>
    </w:p>
    <w:p w:rsidR="00684407" w:rsidRPr="00684407" w:rsidRDefault="00684407"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DD1079" w:rsidRPr="00684407" w:rsidRDefault="00DD1079" w:rsidP="00212C92">
      <w:pPr>
        <w:jc w:val="both"/>
        <w:rPr>
          <w:i/>
          <w:sz w:val="22"/>
          <w:szCs w:val="22"/>
          <w:lang w:val="uk-UA"/>
        </w:rPr>
      </w:pPr>
    </w:p>
    <w:p w:rsidR="00FF7FC0" w:rsidRPr="00AD3566" w:rsidRDefault="00712325" w:rsidP="00FF7FC0">
      <w:pPr>
        <w:jc w:val="both"/>
        <w:outlineLvl w:val="0"/>
        <w:rPr>
          <w:sz w:val="28"/>
        </w:rPr>
      </w:pPr>
      <w:r w:rsidRPr="00684407">
        <w:rPr>
          <w:b/>
          <w:sz w:val="28"/>
          <w:lang w:val="uk-UA"/>
        </w:rPr>
        <w:br w:type="page"/>
      </w:r>
      <w:r w:rsidR="00684407">
        <w:rPr>
          <w:b/>
          <w:sz w:val="28"/>
          <w:lang w:val="uk-UA"/>
        </w:rPr>
        <w:t>Зміст</w:t>
      </w:r>
      <w:r w:rsidR="00FF7FC0" w:rsidRPr="00AD3566">
        <w:rPr>
          <w:sz w:val="28"/>
        </w:rPr>
        <w:t xml:space="preserve"> </w:t>
      </w:r>
    </w:p>
    <w:p w:rsidR="00FF7FC0" w:rsidRPr="00AD3566" w:rsidRDefault="00FF7FC0" w:rsidP="00FF7FC0">
      <w:pPr>
        <w:jc w:val="both"/>
        <w:rPr>
          <w:sz w:val="22"/>
        </w:rPr>
      </w:pPr>
    </w:p>
    <w:p w:rsidR="009D7382" w:rsidRDefault="00984389">
      <w:pPr>
        <w:pStyle w:val="10"/>
        <w:tabs>
          <w:tab w:val="right" w:leader="dot" w:pos="9062"/>
        </w:tabs>
        <w:rPr>
          <w:rStyle w:val="a5"/>
          <w:noProof/>
          <w:color w:val="auto"/>
          <w:sz w:val="22"/>
          <w:szCs w:val="22"/>
        </w:rPr>
      </w:pPr>
      <w:r w:rsidRPr="009D7382">
        <w:rPr>
          <w:sz w:val="22"/>
          <w:szCs w:val="22"/>
        </w:rPr>
        <w:fldChar w:fldCharType="begin"/>
      </w:r>
      <w:r w:rsidR="00FF7FC0" w:rsidRPr="009D7382">
        <w:rPr>
          <w:sz w:val="22"/>
          <w:szCs w:val="22"/>
        </w:rPr>
        <w:instrText xml:space="preserve"> TOC \o "1-3" \h \z </w:instrText>
      </w:r>
      <w:r w:rsidRPr="009D7382">
        <w:rPr>
          <w:sz w:val="22"/>
          <w:szCs w:val="22"/>
        </w:rPr>
        <w:fldChar w:fldCharType="separate"/>
      </w:r>
      <w:hyperlink w:anchor="_Toc285540447" w:history="1">
        <w:r w:rsidR="00684407">
          <w:rPr>
            <w:rStyle w:val="a5"/>
            <w:noProof/>
            <w:color w:val="auto"/>
            <w:sz w:val="22"/>
            <w:szCs w:val="22"/>
            <w:lang w:val="uk-UA"/>
          </w:rPr>
          <w:t>Стислий опис</w:t>
        </w:r>
        <w:r w:rsidR="009D7382" w:rsidRPr="000411B9">
          <w:rPr>
            <w:noProof/>
            <w:webHidden/>
            <w:sz w:val="22"/>
            <w:szCs w:val="22"/>
          </w:rPr>
          <w:tab/>
        </w:r>
        <w:r w:rsidRPr="000411B9">
          <w:rPr>
            <w:noProof/>
            <w:webHidden/>
            <w:sz w:val="22"/>
            <w:szCs w:val="22"/>
          </w:rPr>
          <w:fldChar w:fldCharType="begin"/>
        </w:r>
        <w:r w:rsidR="009D7382" w:rsidRPr="000411B9">
          <w:rPr>
            <w:noProof/>
            <w:webHidden/>
            <w:sz w:val="22"/>
            <w:szCs w:val="22"/>
          </w:rPr>
          <w:instrText xml:space="preserve"> PAGEREF _Toc285540447 \h </w:instrText>
        </w:r>
        <w:r w:rsidRPr="000411B9">
          <w:rPr>
            <w:noProof/>
            <w:webHidden/>
            <w:sz w:val="22"/>
            <w:szCs w:val="22"/>
          </w:rPr>
        </w:r>
        <w:r w:rsidRPr="000411B9">
          <w:rPr>
            <w:noProof/>
            <w:webHidden/>
            <w:sz w:val="22"/>
            <w:szCs w:val="22"/>
          </w:rPr>
          <w:fldChar w:fldCharType="separate"/>
        </w:r>
        <w:r w:rsidR="000D6AB1">
          <w:rPr>
            <w:noProof/>
            <w:webHidden/>
            <w:sz w:val="22"/>
            <w:szCs w:val="22"/>
          </w:rPr>
          <w:t>4</w:t>
        </w:r>
        <w:r w:rsidRPr="000411B9">
          <w:rPr>
            <w:noProof/>
            <w:webHidden/>
            <w:sz w:val="22"/>
            <w:szCs w:val="22"/>
          </w:rPr>
          <w:fldChar w:fldCharType="end"/>
        </w:r>
      </w:hyperlink>
    </w:p>
    <w:p w:rsidR="002402D8" w:rsidRPr="00684407" w:rsidRDefault="002402D8" w:rsidP="002402D8">
      <w:pPr>
        <w:rPr>
          <w:lang w:val="ru-RU" w:eastAsia="fi-FI"/>
        </w:rPr>
      </w:pPr>
      <w:r w:rsidRPr="00684407">
        <w:rPr>
          <w:lang w:val="ru-RU" w:eastAsia="fi-FI"/>
        </w:rPr>
        <w:t xml:space="preserve">1. </w:t>
      </w:r>
      <w:r w:rsidR="00684407">
        <w:rPr>
          <w:lang w:val="uk-UA" w:eastAsia="fi-FI"/>
        </w:rPr>
        <w:t>Загальні коментарі</w:t>
      </w:r>
      <w:r w:rsidRPr="00684407">
        <w:rPr>
          <w:lang w:val="ru-RU" w:eastAsia="fi-FI"/>
        </w:rPr>
        <w:t>................................................................................................................7</w:t>
      </w:r>
    </w:p>
    <w:p w:rsidR="002402D8" w:rsidRPr="00684407" w:rsidRDefault="002402D8" w:rsidP="002402D8">
      <w:pPr>
        <w:rPr>
          <w:lang w:val="ru-RU" w:eastAsia="fi-FI"/>
        </w:rPr>
      </w:pPr>
      <w:r w:rsidRPr="00684407">
        <w:rPr>
          <w:lang w:val="ru-RU" w:eastAsia="fi-FI"/>
        </w:rPr>
        <w:t xml:space="preserve">2. </w:t>
      </w:r>
      <w:r w:rsidR="00684407">
        <w:rPr>
          <w:lang w:val="uk-UA" w:eastAsia="fi-FI"/>
        </w:rPr>
        <w:t>Оцінювання і результати</w:t>
      </w:r>
      <w:r w:rsidRPr="00684407">
        <w:rPr>
          <w:lang w:val="ru-RU" w:eastAsia="fi-FI"/>
        </w:rPr>
        <w:t>......................................................................................................8</w:t>
      </w:r>
    </w:p>
    <w:p w:rsidR="002402D8" w:rsidRPr="00684407" w:rsidRDefault="002402D8" w:rsidP="002402D8">
      <w:pPr>
        <w:rPr>
          <w:lang w:val="ru-RU" w:eastAsia="fi-FI"/>
        </w:rPr>
      </w:pPr>
      <w:r w:rsidRPr="00684407">
        <w:rPr>
          <w:lang w:val="ru-RU" w:eastAsia="fi-FI"/>
        </w:rPr>
        <w:t xml:space="preserve">3. </w:t>
      </w:r>
      <w:r w:rsidR="00684407" w:rsidRPr="00684407">
        <w:rPr>
          <w:lang w:val="ru-RU" w:eastAsia="fi-FI"/>
        </w:rPr>
        <w:t>Висновки та рекомендації стосовно подальшої технічної підтримки</w:t>
      </w:r>
      <w:r w:rsidRPr="00684407">
        <w:rPr>
          <w:lang w:val="ru-RU" w:eastAsia="fi-FI"/>
        </w:rPr>
        <w:t>...........................</w:t>
      </w:r>
      <w:r w:rsidR="00897791" w:rsidRPr="00684407">
        <w:rPr>
          <w:lang w:val="ru-RU" w:eastAsia="fi-FI"/>
        </w:rPr>
        <w:t>16</w:t>
      </w:r>
    </w:p>
    <w:p w:rsidR="002402D8" w:rsidRPr="002402D8" w:rsidRDefault="00684407" w:rsidP="002402D8">
      <w:pPr>
        <w:rPr>
          <w:lang w:eastAsia="fi-FI"/>
        </w:rPr>
      </w:pPr>
      <w:r>
        <w:rPr>
          <w:lang w:val="uk-UA" w:eastAsia="fi-FI"/>
        </w:rPr>
        <w:t>Додаток</w:t>
      </w:r>
      <w:r w:rsidR="002402D8" w:rsidRPr="002402D8">
        <w:rPr>
          <w:lang w:eastAsia="fi-FI"/>
        </w:rPr>
        <w:t xml:space="preserve"> 1. </w:t>
      </w:r>
      <w:r>
        <w:rPr>
          <w:lang w:val="uk-UA" w:eastAsia="fi-FI"/>
        </w:rPr>
        <w:t>Технічне завдання.</w:t>
      </w:r>
      <w:r w:rsidR="002402D8">
        <w:rPr>
          <w:lang w:eastAsia="fi-FI"/>
        </w:rPr>
        <w:t>...............................................................................................17</w:t>
      </w:r>
    </w:p>
    <w:p w:rsidR="009D7382" w:rsidRDefault="000C5886">
      <w:pPr>
        <w:pStyle w:val="10"/>
        <w:tabs>
          <w:tab w:val="right" w:leader="dot" w:pos="9062"/>
        </w:tabs>
        <w:rPr>
          <w:rStyle w:val="a5"/>
          <w:noProof/>
          <w:sz w:val="22"/>
          <w:szCs w:val="22"/>
        </w:rPr>
      </w:pPr>
      <w:hyperlink w:anchor="_Toc285540452" w:history="1">
        <w:r w:rsidR="00684407">
          <w:rPr>
            <w:rStyle w:val="a5"/>
            <w:noProof/>
            <w:sz w:val="22"/>
            <w:szCs w:val="22"/>
            <w:lang w:val="uk-UA"/>
          </w:rPr>
          <w:t>Додаток</w:t>
        </w:r>
        <w:r w:rsidR="009D7382" w:rsidRPr="009D7382">
          <w:rPr>
            <w:rStyle w:val="a5"/>
            <w:noProof/>
            <w:sz w:val="22"/>
            <w:szCs w:val="22"/>
          </w:rPr>
          <w:t xml:space="preserve"> 2. </w:t>
        </w:r>
        <w:r w:rsidR="00684407">
          <w:rPr>
            <w:rStyle w:val="a5"/>
            <w:noProof/>
            <w:sz w:val="22"/>
            <w:szCs w:val="22"/>
            <w:lang w:val="uk-UA"/>
          </w:rPr>
          <w:t>Особи, з якими було проведено зустріч</w:t>
        </w:r>
        <w:r w:rsidR="009D7382" w:rsidRPr="009D7382">
          <w:rPr>
            <w:noProof/>
            <w:webHidden/>
            <w:sz w:val="22"/>
            <w:szCs w:val="22"/>
          </w:rPr>
          <w:tab/>
        </w:r>
        <w:r w:rsidR="00984389" w:rsidRPr="009D7382">
          <w:rPr>
            <w:noProof/>
            <w:webHidden/>
            <w:sz w:val="22"/>
            <w:szCs w:val="22"/>
          </w:rPr>
          <w:fldChar w:fldCharType="begin"/>
        </w:r>
        <w:r w:rsidR="009D7382" w:rsidRPr="009D7382">
          <w:rPr>
            <w:noProof/>
            <w:webHidden/>
            <w:sz w:val="22"/>
            <w:szCs w:val="22"/>
          </w:rPr>
          <w:instrText xml:space="preserve"> PAGEREF _Toc285540452 \h </w:instrText>
        </w:r>
        <w:r w:rsidR="00984389" w:rsidRPr="009D7382">
          <w:rPr>
            <w:noProof/>
            <w:webHidden/>
            <w:sz w:val="22"/>
            <w:szCs w:val="22"/>
          </w:rPr>
        </w:r>
        <w:r w:rsidR="00984389" w:rsidRPr="009D7382">
          <w:rPr>
            <w:noProof/>
            <w:webHidden/>
            <w:sz w:val="22"/>
            <w:szCs w:val="22"/>
          </w:rPr>
          <w:fldChar w:fldCharType="separate"/>
        </w:r>
        <w:r w:rsidR="000D6AB1">
          <w:rPr>
            <w:noProof/>
            <w:webHidden/>
            <w:sz w:val="22"/>
            <w:szCs w:val="22"/>
          </w:rPr>
          <w:t>19</w:t>
        </w:r>
        <w:r w:rsidR="00984389" w:rsidRPr="009D7382">
          <w:rPr>
            <w:noProof/>
            <w:webHidden/>
            <w:sz w:val="22"/>
            <w:szCs w:val="22"/>
          </w:rPr>
          <w:fldChar w:fldCharType="end"/>
        </w:r>
      </w:hyperlink>
    </w:p>
    <w:p w:rsidR="001F6900" w:rsidRPr="001A7E40" w:rsidRDefault="00684407" w:rsidP="001F6900">
      <w:pPr>
        <w:rPr>
          <w:lang w:val="ru-RU" w:eastAsia="fi-FI"/>
        </w:rPr>
      </w:pPr>
      <w:r>
        <w:rPr>
          <w:lang w:val="uk-UA" w:eastAsia="fi-FI"/>
        </w:rPr>
        <w:t xml:space="preserve">Додаток </w:t>
      </w:r>
      <w:r w:rsidRPr="001A7E40">
        <w:rPr>
          <w:lang w:val="ru-RU" w:eastAsia="fi-FI"/>
        </w:rPr>
        <w:t xml:space="preserve">3. </w:t>
      </w:r>
      <w:r w:rsidR="00D96DC0">
        <w:rPr>
          <w:lang w:val="ru-RU" w:eastAsia="fi-FI"/>
        </w:rPr>
        <w:t>Контрольний список.</w:t>
      </w:r>
      <w:r w:rsidR="001F6900" w:rsidRPr="001A7E40">
        <w:rPr>
          <w:lang w:val="ru-RU" w:eastAsia="fi-FI"/>
        </w:rPr>
        <w:t>...............................................................................................</w:t>
      </w:r>
    </w:p>
    <w:p w:rsidR="00FF7FC0" w:rsidRPr="001A7E40" w:rsidRDefault="00984389" w:rsidP="000913FD">
      <w:pPr>
        <w:pStyle w:val="30"/>
        <w:rPr>
          <w:szCs w:val="22"/>
          <w:lang w:val="ru-RU"/>
        </w:rPr>
      </w:pPr>
      <w:r w:rsidRPr="009D7382">
        <w:rPr>
          <w:szCs w:val="22"/>
          <w:lang w:val="en-GB"/>
        </w:rPr>
        <w:fldChar w:fldCharType="end"/>
      </w:r>
    </w:p>
    <w:p w:rsidR="006214D2" w:rsidRPr="00AD3566" w:rsidRDefault="006214D2" w:rsidP="006214D2">
      <w:pPr>
        <w:rPr>
          <w:lang w:val="fi-FI"/>
        </w:rPr>
      </w:pPr>
    </w:p>
    <w:p w:rsidR="001A7E40" w:rsidRDefault="001A7E40" w:rsidP="001A7E40">
      <w:pPr>
        <w:jc w:val="both"/>
        <w:rPr>
          <w:b/>
          <w:sz w:val="28"/>
          <w:lang w:val="uk-UA"/>
        </w:rPr>
      </w:pPr>
      <w:r>
        <w:rPr>
          <w:b/>
          <w:sz w:val="28"/>
          <w:lang w:val="uk-UA"/>
        </w:rPr>
        <w:t>Перелік скорочень</w:t>
      </w:r>
    </w:p>
    <w:p w:rsidR="001A7E40" w:rsidRDefault="001A7E40" w:rsidP="001A7E40">
      <w:pPr>
        <w:jc w:val="both"/>
        <w:rPr>
          <w:b/>
          <w:sz w:val="28"/>
          <w:lang w:val="uk-UA"/>
        </w:rPr>
      </w:pPr>
    </w:p>
    <w:p w:rsidR="001A7E40" w:rsidRDefault="001A7E40" w:rsidP="001A7E40">
      <w:pPr>
        <w:pStyle w:val="1"/>
        <w:jc w:val="both"/>
        <w:rPr>
          <w:rFonts w:ascii="Times New Roman" w:hAnsi="Times New Roman" w:cs="Times New Roman"/>
          <w:b w:val="0"/>
          <w:color w:val="000000"/>
          <w:sz w:val="22"/>
          <w:szCs w:val="22"/>
          <w:lang w:val="uk-UA"/>
        </w:rPr>
      </w:pPr>
      <w:bookmarkStart w:id="1" w:name="__RefHeading__49_804352187"/>
      <w:bookmarkEnd w:id="1"/>
      <w:r>
        <w:rPr>
          <w:rFonts w:ascii="Times New Roman" w:hAnsi="Times New Roman" w:cs="Times New Roman"/>
          <w:b w:val="0"/>
          <w:color w:val="000000"/>
          <w:sz w:val="22"/>
          <w:szCs w:val="22"/>
          <w:lang w:val="uk-UA"/>
        </w:rPr>
        <w:t>ДССУ</w:t>
      </w:r>
      <w:r>
        <w:rPr>
          <w:rFonts w:ascii="Times New Roman" w:hAnsi="Times New Roman" w:cs="Times New Roman"/>
          <w:b w:val="0"/>
          <w:sz w:val="22"/>
          <w:lang w:val="uk-UA"/>
        </w:rPr>
        <w:tab/>
      </w:r>
      <w:r>
        <w:rPr>
          <w:rFonts w:ascii="Times New Roman" w:hAnsi="Times New Roman" w:cs="Times New Roman"/>
          <w:b w:val="0"/>
          <w:sz w:val="22"/>
          <w:lang w:val="uk-UA"/>
        </w:rPr>
        <w:tab/>
      </w:r>
      <w:r>
        <w:rPr>
          <w:rFonts w:ascii="Times New Roman" w:hAnsi="Times New Roman" w:cs="Times New Roman"/>
          <w:b w:val="0"/>
          <w:color w:val="000000"/>
          <w:sz w:val="22"/>
          <w:szCs w:val="22"/>
          <w:lang w:val="uk-UA"/>
        </w:rPr>
        <w:t>Державний служба статистики України</w:t>
      </w:r>
    </w:p>
    <w:p w:rsidR="006214D2" w:rsidRPr="00346212" w:rsidRDefault="006214D2" w:rsidP="006214D2">
      <w:pPr>
        <w:rPr>
          <w:lang w:val="ru-RU" w:eastAsia="fi-FI"/>
        </w:rPr>
      </w:pPr>
    </w:p>
    <w:p w:rsidR="00252037" w:rsidRPr="001A7E40" w:rsidRDefault="001A7E40" w:rsidP="00252037">
      <w:pPr>
        <w:pStyle w:val="1"/>
        <w:rPr>
          <w:rFonts w:ascii="Times New Roman" w:hAnsi="Times New Roman" w:cs="Times New Roman"/>
          <w:lang w:val="uk-UA"/>
        </w:rPr>
      </w:pPr>
      <w:r>
        <w:rPr>
          <w:rFonts w:ascii="Times New Roman" w:hAnsi="Times New Roman" w:cs="Times New Roman"/>
          <w:lang w:val="uk-UA"/>
        </w:rPr>
        <w:t>Стислий опис</w:t>
      </w:r>
    </w:p>
    <w:p w:rsidR="00F708C2" w:rsidRPr="00F708C2" w:rsidRDefault="00F708C2" w:rsidP="00F708C2">
      <w:pPr>
        <w:pStyle w:val="1"/>
        <w:jc w:val="both"/>
        <w:rPr>
          <w:rFonts w:ascii="Times New Roman" w:hAnsi="Times New Roman" w:cs="Times New Roman"/>
          <w:b w:val="0"/>
          <w:sz w:val="24"/>
          <w:szCs w:val="24"/>
          <w:lang w:val="uk-UA"/>
        </w:rPr>
      </w:pPr>
      <w:r>
        <w:rPr>
          <w:rFonts w:ascii="Times New Roman" w:hAnsi="Times New Roman" w:cs="Times New Roman"/>
          <w:b w:val="0"/>
          <w:sz w:val="24"/>
          <w:szCs w:val="24"/>
          <w:lang w:val="uk-UA"/>
        </w:rPr>
        <w:t>Під час о</w:t>
      </w:r>
      <w:r w:rsidRPr="00F708C2">
        <w:rPr>
          <w:rFonts w:ascii="Times New Roman" w:hAnsi="Times New Roman" w:cs="Times New Roman"/>
          <w:b w:val="0"/>
          <w:sz w:val="24"/>
          <w:szCs w:val="24"/>
          <w:lang w:val="uk-UA"/>
        </w:rPr>
        <w:t xml:space="preserve">бговорення </w:t>
      </w:r>
      <w:r>
        <w:rPr>
          <w:rFonts w:ascii="Times New Roman" w:hAnsi="Times New Roman" w:cs="Times New Roman"/>
          <w:b w:val="0"/>
          <w:sz w:val="24"/>
          <w:szCs w:val="24"/>
          <w:lang w:val="uk-UA"/>
        </w:rPr>
        <w:t xml:space="preserve">звітів з якості для ІСЦ було зауважено, що вони мають цінне значення не лише для Євростату, а й для індивідуальних Національних </w:t>
      </w:r>
      <w:r w:rsidR="00D96DC0">
        <w:rPr>
          <w:rFonts w:ascii="Times New Roman" w:hAnsi="Times New Roman" w:cs="Times New Roman"/>
          <w:b w:val="0"/>
          <w:sz w:val="24"/>
          <w:szCs w:val="24"/>
          <w:lang w:val="uk-UA"/>
        </w:rPr>
        <w:t>служб</w:t>
      </w:r>
      <w:r>
        <w:rPr>
          <w:rFonts w:ascii="Times New Roman" w:hAnsi="Times New Roman" w:cs="Times New Roman"/>
          <w:b w:val="0"/>
          <w:sz w:val="24"/>
          <w:szCs w:val="24"/>
          <w:lang w:val="uk-UA"/>
        </w:rPr>
        <w:t xml:space="preserve"> статистики</w:t>
      </w:r>
      <w:r w:rsidR="00BA2B46">
        <w:rPr>
          <w:rFonts w:ascii="Times New Roman" w:hAnsi="Times New Roman" w:cs="Times New Roman"/>
          <w:b w:val="0"/>
          <w:sz w:val="24"/>
          <w:szCs w:val="24"/>
          <w:lang w:val="uk-UA"/>
        </w:rPr>
        <w:t>,</w:t>
      </w:r>
      <w:r>
        <w:rPr>
          <w:rFonts w:ascii="Times New Roman" w:hAnsi="Times New Roman" w:cs="Times New Roman"/>
          <w:b w:val="0"/>
          <w:sz w:val="24"/>
          <w:szCs w:val="24"/>
          <w:lang w:val="uk-UA"/>
        </w:rPr>
        <w:t xml:space="preserve"> і м</w:t>
      </w:r>
      <w:r w:rsidR="00BA2B46">
        <w:rPr>
          <w:rFonts w:ascii="Times New Roman" w:hAnsi="Times New Roman" w:cs="Times New Roman"/>
          <w:b w:val="0"/>
          <w:sz w:val="24"/>
          <w:szCs w:val="24"/>
          <w:lang w:val="uk-UA"/>
        </w:rPr>
        <w:t>ають бути повністю інтегрованими в</w:t>
      </w:r>
      <w:r>
        <w:rPr>
          <w:rFonts w:ascii="Times New Roman" w:hAnsi="Times New Roman" w:cs="Times New Roman"/>
          <w:b w:val="0"/>
          <w:sz w:val="24"/>
          <w:szCs w:val="24"/>
          <w:lang w:val="uk-UA"/>
        </w:rPr>
        <w:t xml:space="preserve"> механізми планування програми розвитку статистичної роботи Національних </w:t>
      </w:r>
      <w:r w:rsidR="00D96DC0">
        <w:rPr>
          <w:rFonts w:ascii="Times New Roman" w:hAnsi="Times New Roman" w:cs="Times New Roman"/>
          <w:b w:val="0"/>
          <w:sz w:val="24"/>
          <w:szCs w:val="24"/>
          <w:lang w:val="uk-UA"/>
        </w:rPr>
        <w:t>служб</w:t>
      </w:r>
      <w:r>
        <w:rPr>
          <w:rFonts w:ascii="Times New Roman" w:hAnsi="Times New Roman" w:cs="Times New Roman"/>
          <w:b w:val="0"/>
          <w:sz w:val="24"/>
          <w:szCs w:val="24"/>
          <w:lang w:val="uk-UA"/>
        </w:rPr>
        <w:t xml:space="preserve"> статистики. Звіти також </w:t>
      </w:r>
      <w:r w:rsidR="00BA2B46">
        <w:rPr>
          <w:rFonts w:ascii="Times New Roman" w:hAnsi="Times New Roman" w:cs="Times New Roman"/>
          <w:b w:val="0"/>
          <w:sz w:val="24"/>
          <w:szCs w:val="24"/>
          <w:lang w:val="uk-UA"/>
        </w:rPr>
        <w:t>забезпечують</w:t>
      </w:r>
      <w:r>
        <w:rPr>
          <w:rFonts w:ascii="Times New Roman" w:hAnsi="Times New Roman" w:cs="Times New Roman"/>
          <w:b w:val="0"/>
          <w:sz w:val="24"/>
          <w:szCs w:val="24"/>
          <w:lang w:val="uk-UA"/>
        </w:rPr>
        <w:t xml:space="preserve"> корисне джерело метаданих та поради користувачам статистики щодо обмежень, які стосуються практичних застосувань. Було створено </w:t>
      </w:r>
      <w:r w:rsidR="00D96DC0">
        <w:rPr>
          <w:rFonts w:ascii="Times New Roman" w:hAnsi="Times New Roman" w:cs="Times New Roman"/>
          <w:b w:val="0"/>
          <w:sz w:val="24"/>
          <w:szCs w:val="24"/>
          <w:lang w:val="uk-UA"/>
        </w:rPr>
        <w:t>контрольний список</w:t>
      </w:r>
      <w:r>
        <w:rPr>
          <w:rFonts w:ascii="Times New Roman" w:hAnsi="Times New Roman" w:cs="Times New Roman"/>
          <w:b w:val="0"/>
          <w:sz w:val="24"/>
          <w:szCs w:val="24"/>
          <w:lang w:val="uk-UA"/>
        </w:rPr>
        <w:t xml:space="preserve">, що визначає низку питань, на які слід звернути увагу ДССУ. </w:t>
      </w:r>
      <w:r w:rsidR="00D96DC0">
        <w:rPr>
          <w:rFonts w:ascii="Times New Roman" w:hAnsi="Times New Roman" w:cs="Times New Roman"/>
          <w:b w:val="0"/>
          <w:sz w:val="24"/>
          <w:szCs w:val="24"/>
          <w:lang w:val="uk-UA"/>
        </w:rPr>
        <w:t xml:space="preserve">Контрольний список </w:t>
      </w:r>
      <w:r>
        <w:rPr>
          <w:rFonts w:ascii="Times New Roman" w:hAnsi="Times New Roman" w:cs="Times New Roman"/>
          <w:b w:val="0"/>
          <w:sz w:val="24"/>
          <w:szCs w:val="24"/>
          <w:lang w:val="uk-UA"/>
        </w:rPr>
        <w:t xml:space="preserve">увійде до звіту з якості, який ДССУ складатиме </w:t>
      </w:r>
      <w:r w:rsidR="00BA2B46">
        <w:rPr>
          <w:rFonts w:ascii="Times New Roman" w:hAnsi="Times New Roman" w:cs="Times New Roman"/>
          <w:b w:val="0"/>
          <w:sz w:val="24"/>
          <w:szCs w:val="24"/>
          <w:lang w:val="uk-UA"/>
        </w:rPr>
        <w:t>спільно</w:t>
      </w:r>
      <w:r>
        <w:rPr>
          <w:rFonts w:ascii="Times New Roman" w:hAnsi="Times New Roman" w:cs="Times New Roman"/>
          <w:b w:val="0"/>
          <w:sz w:val="24"/>
          <w:szCs w:val="24"/>
          <w:lang w:val="uk-UA"/>
        </w:rPr>
        <w:t xml:space="preserve"> з допомогою Статистичної служби Литви. </w:t>
      </w:r>
      <w:r w:rsidR="00D96DC0">
        <w:rPr>
          <w:rFonts w:ascii="Times New Roman" w:hAnsi="Times New Roman" w:cs="Times New Roman"/>
          <w:b w:val="0"/>
          <w:sz w:val="24"/>
          <w:szCs w:val="24"/>
          <w:lang w:val="uk-UA"/>
        </w:rPr>
        <w:t>Контрольний список</w:t>
      </w:r>
      <w:r>
        <w:rPr>
          <w:rFonts w:ascii="Times New Roman" w:hAnsi="Times New Roman" w:cs="Times New Roman"/>
          <w:b w:val="0"/>
          <w:sz w:val="24"/>
          <w:szCs w:val="24"/>
          <w:lang w:val="uk-UA"/>
        </w:rPr>
        <w:t xml:space="preserve"> наведено в Додатку 3.</w:t>
      </w:r>
    </w:p>
    <w:p w:rsidR="00F708C2" w:rsidRDefault="00F708C2" w:rsidP="001F6900">
      <w:pPr>
        <w:jc w:val="both"/>
        <w:rPr>
          <w:lang w:val="uk-UA"/>
        </w:rPr>
      </w:pPr>
      <w:r>
        <w:rPr>
          <w:lang w:val="uk-UA"/>
        </w:rPr>
        <w:t>Під час місії було надано поради щодо зменшення кількості міст, де проводиться реєстрація цін. Було рекомендовано використовувати поєднання ймовірн</w:t>
      </w:r>
      <w:r w:rsidR="00BA2B46">
        <w:rPr>
          <w:lang w:val="uk-UA"/>
        </w:rPr>
        <w:t xml:space="preserve">існої </w:t>
      </w:r>
      <w:r>
        <w:rPr>
          <w:lang w:val="uk-UA"/>
        </w:rPr>
        <w:t>вибірки</w:t>
      </w:r>
      <w:r w:rsidR="00BA2B46">
        <w:rPr>
          <w:lang w:val="uk-UA"/>
        </w:rPr>
        <w:t>,</w:t>
      </w:r>
      <w:r>
        <w:rPr>
          <w:lang w:val="uk-UA"/>
        </w:rPr>
        <w:t xml:space="preserve"> </w:t>
      </w:r>
      <w:r w:rsidR="00BA2B46">
        <w:rPr>
          <w:lang w:val="uk-UA"/>
        </w:rPr>
        <w:t xml:space="preserve">пропорційної розміру </w:t>
      </w:r>
      <w:r>
        <w:rPr>
          <w:lang w:val="uk-UA"/>
        </w:rPr>
        <w:t>(</w:t>
      </w:r>
      <w:r w:rsidR="00BA2B46">
        <w:rPr>
          <w:lang w:val="uk-UA"/>
        </w:rPr>
        <w:t>обсягу</w:t>
      </w:r>
      <w:r>
        <w:rPr>
          <w:lang w:val="uk-UA"/>
        </w:rPr>
        <w:t xml:space="preserve">) та вибірки </w:t>
      </w:r>
      <w:r w:rsidR="00BA2B46">
        <w:rPr>
          <w:lang w:val="uk-UA"/>
        </w:rPr>
        <w:t>методом</w:t>
      </w:r>
      <w:r>
        <w:rPr>
          <w:lang w:val="uk-UA"/>
        </w:rPr>
        <w:t xml:space="preserve"> від</w:t>
      </w:r>
      <w:r w:rsidR="00BA2B46">
        <w:rPr>
          <w:lang w:val="uk-UA"/>
        </w:rPr>
        <w:t>сікання</w:t>
      </w:r>
      <w:r>
        <w:rPr>
          <w:lang w:val="uk-UA"/>
        </w:rPr>
        <w:t xml:space="preserve">, застосованими на регіональному рівні. </w:t>
      </w:r>
    </w:p>
    <w:p w:rsidR="00F708C2" w:rsidRPr="00801FE5" w:rsidRDefault="00F708C2" w:rsidP="00DA78AD">
      <w:pPr>
        <w:spacing w:before="120" w:after="120"/>
        <w:jc w:val="both"/>
        <w:rPr>
          <w:color w:val="000000" w:themeColor="text1"/>
          <w:lang w:val="uk-UA"/>
        </w:rPr>
      </w:pPr>
      <w:r>
        <w:rPr>
          <w:lang w:val="uk-UA"/>
        </w:rPr>
        <w:t xml:space="preserve">Було визначено проблеми з оцінювання результатів експериментального </w:t>
      </w:r>
      <w:r w:rsidR="00BA2B46">
        <w:rPr>
          <w:lang w:val="uk-UA"/>
        </w:rPr>
        <w:t>обстеження</w:t>
      </w:r>
      <w:r>
        <w:rPr>
          <w:lang w:val="uk-UA"/>
        </w:rPr>
        <w:t xml:space="preserve"> агентств з нерухомості, що було розпочато у 4-му кварталі 2013 року, і було н</w:t>
      </w:r>
      <w:r w:rsidR="00801FE5">
        <w:rPr>
          <w:lang w:val="uk-UA"/>
        </w:rPr>
        <w:t>адано поради щодо вирішення цих проблем</w:t>
      </w:r>
      <w:r>
        <w:rPr>
          <w:lang w:val="uk-UA"/>
        </w:rPr>
        <w:t>, а також щодо розширення цього дослідження</w:t>
      </w:r>
      <w:r w:rsidR="00801FE5">
        <w:rPr>
          <w:lang w:val="uk-UA"/>
        </w:rPr>
        <w:t xml:space="preserve"> для охоплення продажів на первинному ринку через будівельні компанії. Проблеми, які обговорювалися, включали: використання вагів, що стосуються товарообігу (не населення); поводження з</w:t>
      </w:r>
      <w:r w:rsidR="00801FE5" w:rsidRPr="00801FE5">
        <w:rPr>
          <w:color w:val="FF0000"/>
          <w:lang w:val="uk-UA"/>
        </w:rPr>
        <w:t xml:space="preserve"> </w:t>
      </w:r>
      <w:r w:rsidR="00801FE5" w:rsidRPr="000933B4">
        <w:rPr>
          <w:color w:val="000000" w:themeColor="text1"/>
          <w:lang w:val="uk-UA"/>
        </w:rPr>
        <w:t>викидами</w:t>
      </w:r>
      <w:r w:rsidR="00801FE5">
        <w:rPr>
          <w:color w:val="000000" w:themeColor="text1"/>
          <w:lang w:val="uk-UA"/>
        </w:rPr>
        <w:t xml:space="preserve">; стратифікація та потреба для </w:t>
      </w:r>
      <w:r w:rsidR="000933B4">
        <w:rPr>
          <w:color w:val="000000" w:themeColor="text1"/>
          <w:lang w:val="uk-UA"/>
        </w:rPr>
        <w:t>збору</w:t>
      </w:r>
      <w:r w:rsidR="00801FE5">
        <w:rPr>
          <w:color w:val="000000" w:themeColor="text1"/>
          <w:lang w:val="uk-UA"/>
        </w:rPr>
        <w:t xml:space="preserve"> та включення змінної, що стосується якості будинку (фізичні властивості та місце розташування). </w:t>
      </w:r>
    </w:p>
    <w:p w:rsidR="00DA78AD" w:rsidRPr="00801FE5" w:rsidRDefault="00801FE5" w:rsidP="00DA78AD">
      <w:pPr>
        <w:spacing w:before="120" w:after="120"/>
        <w:jc w:val="both"/>
        <w:rPr>
          <w:lang w:val="ru-RU"/>
        </w:rPr>
      </w:pPr>
      <w:r>
        <w:rPr>
          <w:bCs/>
          <w:lang w:val="uk-UA"/>
        </w:rPr>
        <w:t xml:space="preserve">Рекомендації наведено в розділі «Оцінювання та результати». </w:t>
      </w:r>
    </w:p>
    <w:p w:rsidR="00DA78AD" w:rsidRPr="00801FE5" w:rsidRDefault="00DA78AD" w:rsidP="00DA78AD">
      <w:pPr>
        <w:spacing w:before="120" w:after="120"/>
        <w:jc w:val="both"/>
        <w:rPr>
          <w:lang w:val="ru-RU"/>
        </w:rPr>
      </w:pPr>
    </w:p>
    <w:p w:rsidR="00DA78AD" w:rsidRPr="00801FE5" w:rsidRDefault="00A20004" w:rsidP="00DA78AD">
      <w:pPr>
        <w:spacing w:before="120" w:after="120"/>
        <w:jc w:val="both"/>
        <w:rPr>
          <w:b/>
          <w:sz w:val="32"/>
          <w:szCs w:val="32"/>
          <w:lang w:val="uk-UA" w:eastAsia="fi-FI"/>
        </w:rPr>
      </w:pPr>
      <w:r w:rsidRPr="00801FE5">
        <w:rPr>
          <w:b/>
          <w:sz w:val="32"/>
          <w:szCs w:val="32"/>
          <w:lang w:val="ru-RU" w:eastAsia="fi-FI"/>
        </w:rPr>
        <w:t xml:space="preserve">1. </w:t>
      </w:r>
      <w:r w:rsidR="00801FE5">
        <w:rPr>
          <w:b/>
          <w:sz w:val="32"/>
          <w:szCs w:val="32"/>
          <w:lang w:val="uk-UA" w:eastAsia="fi-FI"/>
        </w:rPr>
        <w:t>Загальні коментарі</w:t>
      </w:r>
    </w:p>
    <w:p w:rsidR="00801FE5" w:rsidRPr="00801FE5" w:rsidRDefault="00801FE5" w:rsidP="00DA78AD">
      <w:pPr>
        <w:spacing w:before="120" w:after="120"/>
        <w:jc w:val="both"/>
        <w:rPr>
          <w:lang w:val="uk-UA"/>
        </w:rPr>
      </w:pPr>
      <w:r>
        <w:rPr>
          <w:lang w:val="uk-UA"/>
        </w:rPr>
        <w:t xml:space="preserve">Цей звіт </w:t>
      </w:r>
      <w:r w:rsidR="000933B4">
        <w:rPr>
          <w:lang w:val="uk-UA"/>
        </w:rPr>
        <w:t>про роботу</w:t>
      </w:r>
      <w:r>
        <w:rPr>
          <w:lang w:val="uk-UA"/>
        </w:rPr>
        <w:t xml:space="preserve"> місії</w:t>
      </w:r>
      <w:r w:rsidR="00D96DC0">
        <w:rPr>
          <w:lang w:val="uk-UA"/>
        </w:rPr>
        <w:t xml:space="preserve"> було підготовле</w:t>
      </w:r>
      <w:r>
        <w:rPr>
          <w:lang w:val="uk-UA"/>
        </w:rPr>
        <w:t xml:space="preserve">но в рамках Проекту </w:t>
      </w:r>
      <w:r w:rsidRPr="00801FE5">
        <w:rPr>
          <w:lang w:val="en-US"/>
        </w:rPr>
        <w:t>Twinning</w:t>
      </w:r>
      <w:r w:rsidRPr="00801FE5">
        <w:rPr>
          <w:lang w:val="uk-UA"/>
        </w:rPr>
        <w:t xml:space="preserve"> «Сприяння процесам удосконалення Державної служби статистики України з метою покращення її потенціалу та </w:t>
      </w:r>
      <w:r>
        <w:rPr>
          <w:lang w:val="uk-UA"/>
        </w:rPr>
        <w:t xml:space="preserve">продукції» і був присвячений Індексу споживчих цін, </w:t>
      </w:r>
      <w:r w:rsidR="000933B4">
        <w:rPr>
          <w:lang w:val="uk-UA"/>
        </w:rPr>
        <w:t>з концентрацією</w:t>
      </w:r>
      <w:r>
        <w:rPr>
          <w:lang w:val="uk-UA"/>
        </w:rPr>
        <w:t xml:space="preserve"> на звітах з якості, в контексті процеду</w:t>
      </w:r>
      <w:r w:rsidR="000933B4">
        <w:rPr>
          <w:lang w:val="uk-UA"/>
        </w:rPr>
        <w:t>р звітування з якості Євростату,</w:t>
      </w:r>
      <w:r>
        <w:rPr>
          <w:lang w:val="uk-UA"/>
        </w:rPr>
        <w:t xml:space="preserve"> та Індексу цін на житло, з Компонентом 4.2 проекту. </w:t>
      </w:r>
    </w:p>
    <w:p w:rsidR="00E80A59" w:rsidRPr="00346212" w:rsidRDefault="00A20004" w:rsidP="00DA78AD">
      <w:pPr>
        <w:pStyle w:val="1"/>
        <w:jc w:val="both"/>
        <w:rPr>
          <w:rFonts w:ascii="Times New Roman" w:hAnsi="Times New Roman" w:cs="Times New Roman"/>
          <w:sz w:val="22"/>
          <w:lang w:val="ru-RU"/>
        </w:rPr>
      </w:pPr>
      <w:bookmarkStart w:id="2" w:name="_Toc39890848"/>
      <w:bookmarkStart w:id="3" w:name="_Toc285540447"/>
      <w:r w:rsidRPr="00346212">
        <w:rPr>
          <w:rFonts w:ascii="Times New Roman" w:hAnsi="Times New Roman" w:cs="Times New Roman"/>
          <w:lang w:val="ru-RU" w:eastAsia="fi-FI"/>
        </w:rPr>
        <w:t xml:space="preserve">2. </w:t>
      </w:r>
      <w:r w:rsidR="00801FE5">
        <w:rPr>
          <w:rFonts w:ascii="Times New Roman" w:hAnsi="Times New Roman" w:cs="Times New Roman"/>
          <w:lang w:val="uk-UA" w:eastAsia="fi-FI"/>
        </w:rPr>
        <w:t xml:space="preserve">Оцінювання та результати </w:t>
      </w:r>
    </w:p>
    <w:p w:rsidR="00E80A59" w:rsidRPr="00D96DC0" w:rsidRDefault="00801FE5" w:rsidP="00E80A59">
      <w:pPr>
        <w:pStyle w:val="1"/>
        <w:rPr>
          <w:rFonts w:ascii="Times New Roman" w:hAnsi="Times New Roman" w:cs="Times New Roman"/>
          <w:sz w:val="22"/>
          <w:u w:val="single"/>
          <w:lang w:val="ru-RU"/>
        </w:rPr>
      </w:pPr>
      <w:r>
        <w:rPr>
          <w:rFonts w:ascii="Times New Roman" w:hAnsi="Times New Roman" w:cs="Times New Roman"/>
          <w:sz w:val="22"/>
          <w:u w:val="single"/>
          <w:lang w:val="uk-UA"/>
        </w:rPr>
        <w:t xml:space="preserve">Звітування з якості: </w:t>
      </w:r>
      <w:r w:rsidR="00D96DC0">
        <w:rPr>
          <w:rFonts w:ascii="Times New Roman" w:hAnsi="Times New Roman" w:cs="Times New Roman"/>
          <w:sz w:val="22"/>
          <w:u w:val="single"/>
          <w:lang w:val="uk-UA"/>
        </w:rPr>
        <w:t>контрольний список</w:t>
      </w:r>
    </w:p>
    <w:p w:rsidR="00D96DC0" w:rsidRDefault="00D96DC0" w:rsidP="00E80A59">
      <w:pPr>
        <w:spacing w:before="120" w:after="120"/>
        <w:jc w:val="both"/>
        <w:rPr>
          <w:lang w:val="uk-UA"/>
        </w:rPr>
      </w:pPr>
      <w:r>
        <w:rPr>
          <w:lang w:val="uk-UA"/>
        </w:rPr>
        <w:t xml:space="preserve">Місія обговорювала роль метаданих у допомозі НСС виконувати їхні зобов’язання </w:t>
      </w:r>
      <w:r w:rsidR="000933B4">
        <w:rPr>
          <w:lang w:val="uk-UA"/>
        </w:rPr>
        <w:t>щодо вироблення</w:t>
      </w:r>
      <w:r>
        <w:rPr>
          <w:lang w:val="uk-UA"/>
        </w:rPr>
        <w:t xml:space="preserve"> ІСЦ, який підходив би для конкретної цілі і мав би необхідні асоційовані метадані: зокрема, використання правил та контрольних списків з якості. Щодо першого, то двома такими прикладами є </w:t>
      </w:r>
      <w:r w:rsidR="000933B4">
        <w:rPr>
          <w:lang w:val="uk-UA"/>
        </w:rPr>
        <w:t>«</w:t>
      </w:r>
      <w:r>
        <w:rPr>
          <w:lang w:val="uk-UA"/>
        </w:rPr>
        <w:t>Загальна система розповсюдження даних</w:t>
      </w:r>
      <w:r w:rsidR="000933B4">
        <w:rPr>
          <w:lang w:val="uk-UA"/>
        </w:rPr>
        <w:t>»</w:t>
      </w:r>
      <w:r>
        <w:rPr>
          <w:lang w:val="uk-UA"/>
        </w:rPr>
        <w:t xml:space="preserve"> (ЗСРД) та </w:t>
      </w:r>
      <w:r w:rsidR="000933B4">
        <w:rPr>
          <w:lang w:val="uk-UA"/>
        </w:rPr>
        <w:t>«</w:t>
      </w:r>
      <w:r>
        <w:rPr>
          <w:lang w:val="uk-UA"/>
        </w:rPr>
        <w:t>Особливі стандарти розповсюдження даних</w:t>
      </w:r>
      <w:r w:rsidR="000933B4">
        <w:rPr>
          <w:lang w:val="uk-UA"/>
        </w:rPr>
        <w:t>»</w:t>
      </w:r>
      <w:r>
        <w:rPr>
          <w:lang w:val="uk-UA"/>
        </w:rPr>
        <w:t xml:space="preserve"> (ОСРД) Міжнародного Валютного Фонду. Інші приклади включають </w:t>
      </w:r>
      <w:r w:rsidR="000933B4">
        <w:rPr>
          <w:lang w:val="uk-UA"/>
        </w:rPr>
        <w:t>«</w:t>
      </w:r>
      <w:r>
        <w:rPr>
          <w:lang w:val="uk-UA"/>
        </w:rPr>
        <w:t>Правила та Рекомендації ОЄСР для статистичної діяльності</w:t>
      </w:r>
      <w:r w:rsidR="000933B4">
        <w:rPr>
          <w:lang w:val="uk-UA"/>
        </w:rPr>
        <w:t>»</w:t>
      </w:r>
      <w:r>
        <w:rPr>
          <w:lang w:val="uk-UA"/>
        </w:rPr>
        <w:t xml:space="preserve"> ОЄСР і, особливо в даному контексті, </w:t>
      </w:r>
      <w:r w:rsidR="000933B4">
        <w:rPr>
          <w:lang w:val="uk-UA"/>
        </w:rPr>
        <w:t>«</w:t>
      </w:r>
      <w:r>
        <w:rPr>
          <w:lang w:val="uk-UA"/>
        </w:rPr>
        <w:t>Правила з якості для європейської статистики</w:t>
      </w:r>
      <w:r w:rsidR="000933B4">
        <w:rPr>
          <w:lang w:val="uk-UA"/>
        </w:rPr>
        <w:t>»</w:t>
      </w:r>
      <w:r>
        <w:rPr>
          <w:lang w:val="uk-UA"/>
        </w:rPr>
        <w:t xml:space="preserve"> Євростату. </w:t>
      </w:r>
      <w:r w:rsidR="000933B4">
        <w:rPr>
          <w:lang w:val="uk-UA"/>
        </w:rPr>
        <w:t>«</w:t>
      </w:r>
      <w:r w:rsidR="005236FD">
        <w:rPr>
          <w:lang w:val="uk-UA"/>
        </w:rPr>
        <w:t>Посібник щодо звітів з якості</w:t>
      </w:r>
      <w:r w:rsidR="000933B4">
        <w:rPr>
          <w:lang w:val="uk-UA"/>
        </w:rPr>
        <w:t>»</w:t>
      </w:r>
      <w:r w:rsidR="005236FD">
        <w:rPr>
          <w:lang w:val="uk-UA"/>
        </w:rPr>
        <w:t xml:space="preserve"> ЄСС </w:t>
      </w:r>
      <w:r w:rsidR="000933B4">
        <w:rPr>
          <w:lang w:val="uk-UA"/>
        </w:rPr>
        <w:t>забезпечує</w:t>
      </w:r>
      <w:r w:rsidR="005236FD">
        <w:rPr>
          <w:lang w:val="uk-UA"/>
        </w:rPr>
        <w:t xml:space="preserve"> довідковий документ для останнього пункту. </w:t>
      </w:r>
    </w:p>
    <w:p w:rsidR="005236FD" w:rsidRDefault="005236FD" w:rsidP="00E80A59">
      <w:pPr>
        <w:spacing w:before="120" w:after="120"/>
        <w:jc w:val="both"/>
        <w:rPr>
          <w:lang w:val="uk-UA"/>
        </w:rPr>
      </w:pPr>
      <w:r>
        <w:rPr>
          <w:lang w:val="uk-UA"/>
        </w:rPr>
        <w:t xml:space="preserve">Також існують </w:t>
      </w:r>
      <w:r w:rsidR="000933B4">
        <w:rPr>
          <w:lang w:val="uk-UA"/>
        </w:rPr>
        <w:t>«</w:t>
      </w:r>
      <w:r>
        <w:rPr>
          <w:lang w:val="uk-UA"/>
        </w:rPr>
        <w:t>Правила оцінювання якості даних</w:t>
      </w:r>
      <w:r w:rsidR="000933B4">
        <w:rPr>
          <w:lang w:val="uk-UA"/>
        </w:rPr>
        <w:t>»</w:t>
      </w:r>
      <w:r>
        <w:rPr>
          <w:lang w:val="uk-UA"/>
        </w:rPr>
        <w:t xml:space="preserve"> МВФ. Ці правила надають гнучку структуру для якісного оцінювання ІСЦ, що може використовуватися в різноманітних контекстах, включаючи самооцінювання, яке проводиться національними службами статистики, центральними банками та іншими органами, які </w:t>
      </w:r>
      <w:r w:rsidR="000933B4">
        <w:rPr>
          <w:lang w:val="uk-UA"/>
        </w:rPr>
        <w:t>продукують</w:t>
      </w:r>
      <w:r>
        <w:rPr>
          <w:lang w:val="uk-UA"/>
        </w:rPr>
        <w:t xml:space="preserve"> дані. Ці різні правила мають спільний базовий набір показників. </w:t>
      </w:r>
    </w:p>
    <w:p w:rsidR="005236FD" w:rsidRDefault="005236FD" w:rsidP="009F0C3F">
      <w:pPr>
        <w:spacing w:before="120" w:after="120"/>
        <w:jc w:val="both"/>
        <w:rPr>
          <w:lang w:val="uk-UA"/>
        </w:rPr>
      </w:pPr>
      <w:r>
        <w:rPr>
          <w:lang w:val="uk-UA"/>
        </w:rPr>
        <w:t xml:space="preserve">Обговорювалося використання цих та схожих правил для надання користувачам метаданих, на які вони мають право, щодо характеристик, якості, доступу та цілісності ІСЦ і, відповідно, інформації, яку НСУ має знати та </w:t>
      </w:r>
      <w:r w:rsidR="000933B4">
        <w:rPr>
          <w:lang w:val="uk-UA"/>
        </w:rPr>
        <w:t>збирати</w:t>
      </w:r>
      <w:r>
        <w:rPr>
          <w:lang w:val="uk-UA"/>
        </w:rPr>
        <w:t xml:space="preserve">, щоб </w:t>
      </w:r>
      <w:r w:rsidR="000933B4">
        <w:rPr>
          <w:lang w:val="uk-UA"/>
        </w:rPr>
        <w:t>стежити</w:t>
      </w:r>
      <w:r>
        <w:rPr>
          <w:lang w:val="uk-UA"/>
        </w:rPr>
        <w:t xml:space="preserve"> чи виконує вона свої міжнародні зобов’язання і чи відповідає потребам користувачів, а також щоб надати їй можливість розробити програму вдосконалення.  </w:t>
      </w:r>
    </w:p>
    <w:p w:rsidR="009F0C3F" w:rsidRPr="005236FD" w:rsidRDefault="005236FD" w:rsidP="009F0C3F">
      <w:pPr>
        <w:spacing w:before="120" w:after="120"/>
        <w:jc w:val="both"/>
        <w:rPr>
          <w:lang w:val="uk-UA"/>
        </w:rPr>
      </w:pPr>
      <w:r>
        <w:rPr>
          <w:lang w:val="uk-UA"/>
        </w:rPr>
        <w:t xml:space="preserve">Було представлено презентацію в </w:t>
      </w:r>
      <w:r>
        <w:rPr>
          <w:lang w:val="en-US"/>
        </w:rPr>
        <w:t>Power</w:t>
      </w:r>
      <w:r w:rsidRPr="005236FD">
        <w:rPr>
          <w:lang w:val="uk-UA"/>
        </w:rPr>
        <w:t xml:space="preserve"> </w:t>
      </w:r>
      <w:r>
        <w:rPr>
          <w:lang w:val="en-US"/>
        </w:rPr>
        <w:t>Point</w:t>
      </w:r>
      <w:r>
        <w:rPr>
          <w:lang w:val="uk-UA"/>
        </w:rPr>
        <w:t xml:space="preserve">, що поставила речі в контекст. </w:t>
      </w:r>
      <w:r w:rsidRPr="005236FD">
        <w:rPr>
          <w:lang w:val="uk-UA"/>
        </w:rPr>
        <w:t xml:space="preserve"> </w:t>
      </w:r>
    </w:p>
    <w:p w:rsidR="005236FD" w:rsidRDefault="005236FD" w:rsidP="009F0C3F">
      <w:pPr>
        <w:spacing w:before="120" w:after="120"/>
        <w:jc w:val="both"/>
        <w:rPr>
          <w:lang w:val="uk-UA"/>
        </w:rPr>
      </w:pPr>
      <w:r>
        <w:rPr>
          <w:lang w:val="uk-UA"/>
        </w:rPr>
        <w:t xml:space="preserve">Перший розділ заголовків стандартного звіту з якості Європейської </w:t>
      </w:r>
      <w:r w:rsidR="00C229B4">
        <w:rPr>
          <w:lang w:val="uk-UA"/>
        </w:rPr>
        <w:t xml:space="preserve">статистичної </w:t>
      </w:r>
      <w:r>
        <w:rPr>
          <w:lang w:val="uk-UA"/>
        </w:rPr>
        <w:t xml:space="preserve">системи (ЄСС) повторює структуру </w:t>
      </w:r>
      <w:r w:rsidR="000933B4">
        <w:rPr>
          <w:lang w:val="uk-UA"/>
        </w:rPr>
        <w:t>«</w:t>
      </w:r>
      <w:r>
        <w:rPr>
          <w:lang w:val="uk-UA"/>
        </w:rPr>
        <w:t>Посібника щодо звітів з якості</w:t>
      </w:r>
      <w:r w:rsidR="000933B4">
        <w:rPr>
          <w:lang w:val="uk-UA"/>
        </w:rPr>
        <w:t>»</w:t>
      </w:r>
      <w:r>
        <w:rPr>
          <w:lang w:val="uk-UA"/>
        </w:rPr>
        <w:t xml:space="preserve"> ЄСС.</w:t>
      </w:r>
    </w:p>
    <w:p w:rsidR="00E1387E" w:rsidRPr="00374EF5" w:rsidRDefault="00374EF5" w:rsidP="009F0C3F">
      <w:pPr>
        <w:numPr>
          <w:ilvl w:val="0"/>
          <w:numId w:val="29"/>
        </w:numPr>
        <w:tabs>
          <w:tab w:val="num" w:pos="720"/>
        </w:tabs>
        <w:spacing w:after="120"/>
        <w:jc w:val="both"/>
        <w:rPr>
          <w:lang w:val="ru-RU"/>
        </w:rPr>
      </w:pPr>
      <w:r>
        <w:rPr>
          <w:i/>
          <w:iCs/>
          <w:lang w:val="uk-UA"/>
        </w:rPr>
        <w:t xml:space="preserve">Релевантність, оцінка потреб та сприйняття користувачів </w:t>
      </w:r>
    </w:p>
    <w:p w:rsidR="00E1387E" w:rsidRPr="009F0C3F" w:rsidRDefault="00374EF5" w:rsidP="009F0C3F">
      <w:pPr>
        <w:numPr>
          <w:ilvl w:val="0"/>
          <w:numId w:val="29"/>
        </w:numPr>
        <w:tabs>
          <w:tab w:val="num" w:pos="720"/>
        </w:tabs>
        <w:spacing w:after="120"/>
        <w:jc w:val="both"/>
      </w:pPr>
      <w:r>
        <w:rPr>
          <w:i/>
          <w:iCs/>
          <w:lang w:val="uk-UA"/>
        </w:rPr>
        <w:t>Точність</w:t>
      </w:r>
      <w:r w:rsidR="00E1387E" w:rsidRPr="009F0C3F">
        <w:t xml:space="preserve"> </w:t>
      </w:r>
    </w:p>
    <w:p w:rsidR="00E1387E" w:rsidRPr="009F0C3F" w:rsidRDefault="00374EF5" w:rsidP="009F0C3F">
      <w:pPr>
        <w:numPr>
          <w:ilvl w:val="0"/>
          <w:numId w:val="29"/>
        </w:numPr>
        <w:tabs>
          <w:tab w:val="num" w:pos="720"/>
        </w:tabs>
        <w:spacing w:after="120"/>
        <w:jc w:val="both"/>
      </w:pPr>
      <w:r>
        <w:rPr>
          <w:i/>
          <w:iCs/>
          <w:lang w:val="uk-UA"/>
        </w:rPr>
        <w:t xml:space="preserve">Своєчасність і пунктуальність </w:t>
      </w:r>
    </w:p>
    <w:p w:rsidR="00E1387E" w:rsidRPr="009F0C3F" w:rsidRDefault="00374EF5" w:rsidP="009F0C3F">
      <w:pPr>
        <w:numPr>
          <w:ilvl w:val="0"/>
          <w:numId w:val="29"/>
        </w:numPr>
        <w:tabs>
          <w:tab w:val="num" w:pos="720"/>
        </w:tabs>
        <w:spacing w:after="120"/>
        <w:jc w:val="both"/>
      </w:pPr>
      <w:r>
        <w:rPr>
          <w:i/>
          <w:iCs/>
          <w:lang w:val="uk-UA"/>
        </w:rPr>
        <w:t>Доступність і зрозумілість</w:t>
      </w:r>
    </w:p>
    <w:p w:rsidR="00E1387E" w:rsidRPr="009F0C3F" w:rsidRDefault="00374EF5" w:rsidP="009F0C3F">
      <w:pPr>
        <w:numPr>
          <w:ilvl w:val="0"/>
          <w:numId w:val="29"/>
        </w:numPr>
        <w:tabs>
          <w:tab w:val="num" w:pos="720"/>
        </w:tabs>
        <w:spacing w:after="120"/>
        <w:jc w:val="both"/>
      </w:pPr>
      <w:r>
        <w:rPr>
          <w:i/>
          <w:iCs/>
          <w:lang w:val="uk-UA"/>
        </w:rPr>
        <w:t xml:space="preserve">Послідовність і співставність </w:t>
      </w:r>
    </w:p>
    <w:p w:rsidR="00E1387E" w:rsidRPr="009F0C3F" w:rsidRDefault="00374EF5" w:rsidP="009F0C3F">
      <w:pPr>
        <w:numPr>
          <w:ilvl w:val="0"/>
          <w:numId w:val="29"/>
        </w:numPr>
        <w:tabs>
          <w:tab w:val="num" w:pos="720"/>
        </w:tabs>
        <w:spacing w:after="120"/>
        <w:jc w:val="both"/>
      </w:pPr>
      <w:r>
        <w:rPr>
          <w:i/>
          <w:iCs/>
          <w:lang w:val="uk-UA"/>
        </w:rPr>
        <w:t xml:space="preserve">Вартість і навантаження </w:t>
      </w:r>
    </w:p>
    <w:p w:rsidR="00E1387E" w:rsidRPr="009F0C3F" w:rsidRDefault="00374EF5" w:rsidP="009F0C3F">
      <w:pPr>
        <w:numPr>
          <w:ilvl w:val="0"/>
          <w:numId w:val="29"/>
        </w:numPr>
        <w:tabs>
          <w:tab w:val="num" w:pos="720"/>
        </w:tabs>
        <w:spacing w:after="120"/>
        <w:jc w:val="both"/>
      </w:pPr>
      <w:r>
        <w:rPr>
          <w:i/>
          <w:iCs/>
          <w:lang w:val="uk-UA"/>
        </w:rPr>
        <w:t xml:space="preserve">Конфіденційність </w:t>
      </w:r>
    </w:p>
    <w:p w:rsidR="009F0C3F" w:rsidRDefault="00C229B4" w:rsidP="009F0C3F">
      <w:pPr>
        <w:numPr>
          <w:ilvl w:val="0"/>
          <w:numId w:val="29"/>
        </w:numPr>
        <w:spacing w:after="120"/>
        <w:jc w:val="both"/>
      </w:pPr>
      <w:r>
        <w:rPr>
          <w:i/>
          <w:iCs/>
          <w:lang w:val="uk-UA"/>
        </w:rPr>
        <w:t xml:space="preserve">Статистична обробка </w:t>
      </w:r>
    </w:p>
    <w:p w:rsidR="00C229B4" w:rsidRDefault="00C229B4" w:rsidP="002C7CD3">
      <w:pPr>
        <w:spacing w:after="120"/>
        <w:jc w:val="both"/>
        <w:rPr>
          <w:lang w:val="uk-UA"/>
        </w:rPr>
      </w:pPr>
      <w:r>
        <w:rPr>
          <w:lang w:val="uk-UA"/>
        </w:rPr>
        <w:t xml:space="preserve">Але існує 15 принципів </w:t>
      </w:r>
      <w:r w:rsidR="000933B4">
        <w:rPr>
          <w:lang w:val="uk-UA"/>
        </w:rPr>
        <w:t>«</w:t>
      </w:r>
      <w:r>
        <w:rPr>
          <w:lang w:val="uk-UA"/>
        </w:rPr>
        <w:t>Коду практики для товариської перевірки</w:t>
      </w:r>
      <w:r w:rsidR="000933B4">
        <w:rPr>
          <w:lang w:val="uk-UA"/>
        </w:rPr>
        <w:t>»</w:t>
      </w:r>
      <w:r>
        <w:rPr>
          <w:lang w:val="uk-UA"/>
        </w:rPr>
        <w:t xml:space="preserve">. Звіти з якості, здебільшого, фокусуються на Принципах 11-15 (див. </w:t>
      </w:r>
      <w:r w:rsidR="000933B4">
        <w:rPr>
          <w:lang w:val="uk-UA"/>
        </w:rPr>
        <w:t>діаграму</w:t>
      </w:r>
      <w:r>
        <w:rPr>
          <w:lang w:val="uk-UA"/>
        </w:rPr>
        <w:t xml:space="preserve"> нижче).</w:t>
      </w:r>
    </w:p>
    <w:p w:rsidR="00C229B4" w:rsidRDefault="00C229B4" w:rsidP="002C7CD3">
      <w:pPr>
        <w:spacing w:after="120"/>
        <w:jc w:val="both"/>
        <w:rPr>
          <w:lang w:val="uk-UA"/>
        </w:rPr>
      </w:pPr>
      <w:r>
        <w:rPr>
          <w:lang w:val="uk-UA"/>
        </w:rPr>
        <w:t xml:space="preserve">Код практики визначає спільні правила якості для ЄСС. Його було вперше прийнято у 2005 році та оновлено в 2011 Комітетом з Європейської статистичної системи. </w:t>
      </w:r>
    </w:p>
    <w:p w:rsidR="00C229B4" w:rsidRDefault="00C229B4" w:rsidP="002C7CD3">
      <w:pPr>
        <w:spacing w:after="120"/>
        <w:jc w:val="both"/>
        <w:rPr>
          <w:lang w:val="uk-UA"/>
        </w:rPr>
      </w:pPr>
      <w:r>
        <w:rPr>
          <w:lang w:val="uk-UA"/>
        </w:rPr>
        <w:t>Проводяться періодичні оцінювання для перевірки прогресу н</w:t>
      </w:r>
      <w:r w:rsidR="000933B4">
        <w:rPr>
          <w:lang w:val="uk-UA"/>
        </w:rPr>
        <w:t>а шляху до цієї мети – теперішнє</w:t>
      </w:r>
      <w:r>
        <w:rPr>
          <w:lang w:val="uk-UA"/>
        </w:rPr>
        <w:t xml:space="preserve"> стосується 2013-2015</w:t>
      </w:r>
      <w:r w:rsidR="000933B4">
        <w:rPr>
          <w:lang w:val="uk-UA"/>
        </w:rPr>
        <w:t xml:space="preserve"> років. Звіти з т</w:t>
      </w:r>
      <w:r>
        <w:rPr>
          <w:lang w:val="uk-UA"/>
        </w:rPr>
        <w:t xml:space="preserve">овариської перевірки за 2013-2015 </w:t>
      </w:r>
      <w:r w:rsidR="000933B4">
        <w:rPr>
          <w:lang w:val="uk-UA"/>
        </w:rPr>
        <w:t xml:space="preserve">роки </w:t>
      </w:r>
      <w:r>
        <w:rPr>
          <w:lang w:val="uk-UA"/>
        </w:rPr>
        <w:t>здебільшого фокусуються на питаннях, щодо яких не було знайдено повної відповідності Коду практ</w:t>
      </w:r>
      <w:r w:rsidR="000933B4">
        <w:rPr>
          <w:lang w:val="uk-UA"/>
        </w:rPr>
        <w:t>ики (КП) або щодо яких команда т</w:t>
      </w:r>
      <w:r>
        <w:rPr>
          <w:lang w:val="uk-UA"/>
        </w:rPr>
        <w:t>овариської перевірки рекомендувала подальші вдосконален</w:t>
      </w:r>
      <w:r w:rsidR="000933B4">
        <w:rPr>
          <w:lang w:val="uk-UA"/>
        </w:rPr>
        <w:t>ня. Кожна товариська перевірка в</w:t>
      </w:r>
      <w:r>
        <w:rPr>
          <w:lang w:val="uk-UA"/>
        </w:rPr>
        <w:t xml:space="preserve"> країнах-членах ЄС та країнах ЄАВТ/ЄЕЗ здійснюється трьома перевіряючими. Є чотири стадії: </w:t>
      </w:r>
      <w:r w:rsidR="000933B4">
        <w:rPr>
          <w:lang w:val="uk-UA"/>
        </w:rPr>
        <w:t>заповнення анкет із само</w:t>
      </w:r>
      <w:r>
        <w:rPr>
          <w:lang w:val="uk-UA"/>
        </w:rPr>
        <w:t xml:space="preserve">оцінювання країною; їхнє оцінювання тими, хто проводить товариську перевірку; візит товариської перевірки; та підготовка звітів за результатами. </w:t>
      </w:r>
    </w:p>
    <w:p w:rsidR="00C229B4" w:rsidRDefault="000933B4" w:rsidP="002C7CD3">
      <w:pPr>
        <w:spacing w:after="120"/>
        <w:jc w:val="both"/>
        <w:rPr>
          <w:lang w:val="uk-UA"/>
        </w:rPr>
      </w:pPr>
      <w:r>
        <w:rPr>
          <w:lang w:val="uk-UA"/>
        </w:rPr>
        <w:t>Увага Звіту з якості ЄСС приділена принципам</w:t>
      </w:r>
      <w:r w:rsidR="00C229B4">
        <w:rPr>
          <w:lang w:val="uk-UA"/>
        </w:rPr>
        <w:t>, що стосуються статистичного випуску.</w:t>
      </w:r>
    </w:p>
    <w:p w:rsidR="00E1387E" w:rsidRPr="00346212" w:rsidRDefault="00E1387E" w:rsidP="002C7CD3">
      <w:pPr>
        <w:numPr>
          <w:ilvl w:val="1"/>
          <w:numId w:val="32"/>
        </w:numPr>
        <w:spacing w:after="120"/>
        <w:jc w:val="both"/>
        <w:rPr>
          <w:lang w:val="ru-RU"/>
        </w:rPr>
      </w:pPr>
      <w:r w:rsidRPr="002C7CD3">
        <w:rPr>
          <w:lang w:val="en-US"/>
        </w:rPr>
        <w:t>P</w:t>
      </w:r>
      <w:r w:rsidRPr="00C229B4">
        <w:rPr>
          <w:lang w:val="ru-RU"/>
        </w:rPr>
        <w:t xml:space="preserve">11 - </w:t>
      </w:r>
      <w:hyperlink r:id="rId12" w:history="1">
        <w:r w:rsidR="00C229B4">
          <w:rPr>
            <w:rStyle w:val="a5"/>
            <w:lang w:val="uk-UA"/>
          </w:rPr>
          <w:t>ВІДПОВІДНІСТЬ</w:t>
        </w:r>
      </w:hyperlink>
      <w:r w:rsidRPr="00C229B4">
        <w:rPr>
          <w:lang w:val="ru-RU"/>
        </w:rPr>
        <w:t xml:space="preserve"> </w:t>
      </w:r>
      <w:r w:rsidR="00C229B4" w:rsidRPr="00C229B4">
        <w:rPr>
          <w:lang w:val="ru-RU"/>
        </w:rPr>
        <w:t>–</w:t>
      </w:r>
      <w:r w:rsidRPr="00C229B4">
        <w:rPr>
          <w:lang w:val="ru-RU"/>
        </w:rPr>
        <w:t xml:space="preserve"> </w:t>
      </w:r>
      <w:r w:rsidR="00C229B4">
        <w:rPr>
          <w:lang w:val="uk-UA"/>
        </w:rPr>
        <w:t xml:space="preserve">Європейська статистика відповідає потребам користувачів. </w:t>
      </w:r>
    </w:p>
    <w:p w:rsidR="00E1387E" w:rsidRPr="00346212" w:rsidRDefault="00E1387E" w:rsidP="002C7CD3">
      <w:pPr>
        <w:numPr>
          <w:ilvl w:val="1"/>
          <w:numId w:val="32"/>
        </w:numPr>
        <w:spacing w:after="120"/>
        <w:jc w:val="both"/>
        <w:rPr>
          <w:lang w:val="ru-RU"/>
        </w:rPr>
      </w:pPr>
      <w:r w:rsidRPr="002C7CD3">
        <w:rPr>
          <w:lang w:val="en-US"/>
        </w:rPr>
        <w:t>P</w:t>
      </w:r>
      <w:r w:rsidRPr="00C229B4">
        <w:rPr>
          <w:lang w:val="ru-RU"/>
        </w:rPr>
        <w:t xml:space="preserve">12 – </w:t>
      </w:r>
      <w:hyperlink r:id="rId13" w:history="1">
        <w:r w:rsidR="00C229B4">
          <w:rPr>
            <w:rStyle w:val="a5"/>
            <w:lang w:val="uk-UA"/>
          </w:rPr>
          <w:t>ТОЧНІСТЬ</w:t>
        </w:r>
      </w:hyperlink>
      <w:r w:rsidRPr="00C229B4">
        <w:rPr>
          <w:lang w:val="ru-RU"/>
        </w:rPr>
        <w:t xml:space="preserve"> </w:t>
      </w:r>
      <w:r w:rsidR="00C229B4">
        <w:rPr>
          <w:lang w:val="uk-UA"/>
        </w:rPr>
        <w:t>ТА</w:t>
      </w:r>
      <w:r w:rsidRPr="00C229B4">
        <w:rPr>
          <w:lang w:val="ru-RU"/>
        </w:rPr>
        <w:t xml:space="preserve"> </w:t>
      </w:r>
      <w:hyperlink r:id="rId14" w:history="1">
        <w:r w:rsidR="00C229B4">
          <w:rPr>
            <w:rStyle w:val="a5"/>
            <w:lang w:val="uk-UA"/>
          </w:rPr>
          <w:t>НАДІЙНІСТЬ</w:t>
        </w:r>
      </w:hyperlink>
      <w:r w:rsidRPr="00C229B4">
        <w:rPr>
          <w:lang w:val="ru-RU"/>
        </w:rPr>
        <w:t xml:space="preserve"> </w:t>
      </w:r>
      <w:r w:rsidR="00C229B4" w:rsidRPr="00C229B4">
        <w:rPr>
          <w:lang w:val="ru-RU"/>
        </w:rPr>
        <w:t>–</w:t>
      </w:r>
      <w:r w:rsidRPr="00C229B4">
        <w:rPr>
          <w:lang w:val="ru-RU"/>
        </w:rPr>
        <w:t xml:space="preserve"> </w:t>
      </w:r>
      <w:r w:rsidR="00C229B4">
        <w:rPr>
          <w:lang w:val="uk-UA"/>
        </w:rPr>
        <w:t xml:space="preserve">Європейська статистика точно та надійно відображає реальність. </w:t>
      </w:r>
    </w:p>
    <w:p w:rsidR="00C229B4" w:rsidRPr="00C229B4" w:rsidRDefault="00E1387E" w:rsidP="002C7CD3">
      <w:pPr>
        <w:numPr>
          <w:ilvl w:val="1"/>
          <w:numId w:val="32"/>
        </w:numPr>
        <w:spacing w:after="120"/>
        <w:jc w:val="both"/>
        <w:rPr>
          <w:lang w:val="ru-RU"/>
        </w:rPr>
      </w:pPr>
      <w:r w:rsidRPr="00C229B4">
        <w:rPr>
          <w:lang w:val="en-US"/>
        </w:rPr>
        <w:t>P</w:t>
      </w:r>
      <w:r w:rsidRPr="00C229B4">
        <w:rPr>
          <w:lang w:val="ru-RU"/>
        </w:rPr>
        <w:t xml:space="preserve">13 – </w:t>
      </w:r>
      <w:hyperlink r:id="rId15" w:history="1">
        <w:r w:rsidR="00C229B4" w:rsidRPr="00C229B4">
          <w:rPr>
            <w:rStyle w:val="a5"/>
            <w:lang w:val="uk-UA"/>
          </w:rPr>
          <w:t>СВОЄЧАСНІСТЬ</w:t>
        </w:r>
      </w:hyperlink>
      <w:r w:rsidRPr="00C229B4">
        <w:rPr>
          <w:lang w:val="ru-RU"/>
        </w:rPr>
        <w:t xml:space="preserve"> </w:t>
      </w:r>
      <w:r w:rsidR="00C229B4" w:rsidRPr="00C229B4">
        <w:rPr>
          <w:lang w:val="uk-UA"/>
        </w:rPr>
        <w:t>ТА</w:t>
      </w:r>
      <w:r w:rsidRPr="00C229B4">
        <w:rPr>
          <w:lang w:val="ru-RU"/>
        </w:rPr>
        <w:t xml:space="preserve"> </w:t>
      </w:r>
      <w:hyperlink r:id="rId16" w:history="1">
        <w:r w:rsidR="00C229B4" w:rsidRPr="00C229B4">
          <w:rPr>
            <w:rStyle w:val="a5"/>
            <w:lang w:val="uk-UA"/>
          </w:rPr>
          <w:t>ПУНКТУАЛЬНІСТЬ</w:t>
        </w:r>
      </w:hyperlink>
      <w:r w:rsidRPr="00C229B4">
        <w:rPr>
          <w:lang w:val="ru-RU"/>
        </w:rPr>
        <w:t xml:space="preserve"> </w:t>
      </w:r>
      <w:r w:rsidR="00C229B4" w:rsidRPr="00C229B4">
        <w:rPr>
          <w:lang w:val="ru-RU"/>
        </w:rPr>
        <w:t>–</w:t>
      </w:r>
      <w:r w:rsidRPr="00C229B4">
        <w:rPr>
          <w:lang w:val="ru-RU"/>
        </w:rPr>
        <w:t xml:space="preserve"> </w:t>
      </w:r>
      <w:r w:rsidR="00C229B4" w:rsidRPr="00C229B4">
        <w:rPr>
          <w:lang w:val="uk-UA"/>
        </w:rPr>
        <w:t xml:space="preserve">Європейська статистика </w:t>
      </w:r>
      <w:r w:rsidR="00C229B4">
        <w:rPr>
          <w:lang w:val="uk-UA"/>
        </w:rPr>
        <w:t>здійснюється</w:t>
      </w:r>
      <w:r w:rsidR="00C229B4" w:rsidRPr="00C229B4">
        <w:rPr>
          <w:lang w:val="uk-UA"/>
        </w:rPr>
        <w:t xml:space="preserve"> вчасно та пунктуально. </w:t>
      </w:r>
    </w:p>
    <w:p w:rsidR="00C229B4" w:rsidRPr="00C229B4" w:rsidRDefault="00E1387E" w:rsidP="002C7CD3">
      <w:pPr>
        <w:numPr>
          <w:ilvl w:val="1"/>
          <w:numId w:val="32"/>
        </w:numPr>
        <w:spacing w:after="120"/>
        <w:jc w:val="both"/>
        <w:rPr>
          <w:lang w:val="ru-RU"/>
        </w:rPr>
      </w:pPr>
      <w:r w:rsidRPr="00C229B4">
        <w:rPr>
          <w:lang w:val="en-US"/>
        </w:rPr>
        <w:t>P</w:t>
      </w:r>
      <w:r w:rsidRPr="00C229B4">
        <w:rPr>
          <w:lang w:val="ru-RU"/>
        </w:rPr>
        <w:t xml:space="preserve">14 – </w:t>
      </w:r>
      <w:hyperlink r:id="rId17" w:history="1">
        <w:r w:rsidR="00C229B4">
          <w:rPr>
            <w:rStyle w:val="a5"/>
            <w:lang w:val="uk-UA"/>
          </w:rPr>
          <w:t>ПОСЛІДОВНІСТЬ</w:t>
        </w:r>
      </w:hyperlink>
      <w:r w:rsidRPr="00C229B4">
        <w:rPr>
          <w:lang w:val="ru-RU"/>
        </w:rPr>
        <w:t xml:space="preserve"> </w:t>
      </w:r>
      <w:r w:rsidR="00C229B4">
        <w:rPr>
          <w:lang w:val="uk-UA"/>
        </w:rPr>
        <w:t>ТА</w:t>
      </w:r>
      <w:r w:rsidRPr="00C229B4">
        <w:rPr>
          <w:lang w:val="ru-RU"/>
        </w:rPr>
        <w:t xml:space="preserve"> </w:t>
      </w:r>
      <w:hyperlink r:id="rId18" w:history="1">
        <w:r w:rsidR="00C229B4">
          <w:rPr>
            <w:rStyle w:val="a5"/>
            <w:lang w:val="uk-UA"/>
          </w:rPr>
          <w:t>СПІВСТАВНІСТЬ</w:t>
        </w:r>
      </w:hyperlink>
      <w:r w:rsidRPr="00C229B4">
        <w:rPr>
          <w:lang w:val="ru-RU"/>
        </w:rPr>
        <w:t xml:space="preserve"> </w:t>
      </w:r>
      <w:r w:rsidR="00C229B4" w:rsidRPr="00C229B4">
        <w:rPr>
          <w:lang w:val="ru-RU"/>
        </w:rPr>
        <w:t>–</w:t>
      </w:r>
      <w:r w:rsidRPr="00C229B4">
        <w:rPr>
          <w:lang w:val="ru-RU"/>
        </w:rPr>
        <w:t xml:space="preserve"> </w:t>
      </w:r>
      <w:r w:rsidR="00C229B4">
        <w:rPr>
          <w:lang w:val="uk-UA"/>
        </w:rPr>
        <w:t xml:space="preserve">Європейська статистика </w:t>
      </w:r>
      <w:r w:rsidR="005F7F3E">
        <w:rPr>
          <w:lang w:val="uk-UA"/>
        </w:rPr>
        <w:t xml:space="preserve">є послідовною внутрішньо та в часі і співставною між регіонами та країнами; можливо поєднувати і спільно використовувати </w:t>
      </w:r>
      <w:r w:rsidR="00DE75F4" w:rsidRPr="00DE75F4">
        <w:rPr>
          <w:color w:val="000000" w:themeColor="text1"/>
          <w:lang w:val="uk-UA"/>
        </w:rPr>
        <w:t>пов’язані</w:t>
      </w:r>
      <w:r w:rsidR="005F7F3E" w:rsidRPr="00DE75F4">
        <w:rPr>
          <w:color w:val="000000" w:themeColor="text1"/>
          <w:lang w:val="uk-UA"/>
        </w:rPr>
        <w:t xml:space="preserve"> </w:t>
      </w:r>
      <w:r w:rsidR="005F7F3E">
        <w:rPr>
          <w:lang w:val="uk-UA"/>
        </w:rPr>
        <w:t xml:space="preserve">дані з різних джерел. </w:t>
      </w:r>
    </w:p>
    <w:p w:rsidR="00E1387E" w:rsidRPr="005F7F3E" w:rsidRDefault="00E1387E" w:rsidP="002C7CD3">
      <w:pPr>
        <w:numPr>
          <w:ilvl w:val="1"/>
          <w:numId w:val="32"/>
        </w:numPr>
        <w:spacing w:after="120"/>
        <w:jc w:val="both"/>
        <w:rPr>
          <w:lang w:val="ru-RU"/>
        </w:rPr>
      </w:pPr>
      <w:r w:rsidRPr="002C7CD3">
        <w:rPr>
          <w:lang w:val="en-US"/>
        </w:rPr>
        <w:t>P</w:t>
      </w:r>
      <w:r w:rsidRPr="005F7F3E">
        <w:rPr>
          <w:lang w:val="ru-RU"/>
        </w:rPr>
        <w:t xml:space="preserve">15 – </w:t>
      </w:r>
      <w:hyperlink r:id="rId19" w:history="1">
        <w:r w:rsidR="005F7F3E">
          <w:rPr>
            <w:rStyle w:val="a5"/>
            <w:lang w:val="uk-UA"/>
          </w:rPr>
          <w:t>ДОСТУПНІСТЬ</w:t>
        </w:r>
      </w:hyperlink>
      <w:r w:rsidRPr="005F7F3E">
        <w:rPr>
          <w:lang w:val="ru-RU"/>
        </w:rPr>
        <w:t xml:space="preserve"> </w:t>
      </w:r>
      <w:r w:rsidR="005F7F3E">
        <w:rPr>
          <w:lang w:val="uk-UA"/>
        </w:rPr>
        <w:t>ТА</w:t>
      </w:r>
      <w:r w:rsidRPr="005F7F3E">
        <w:rPr>
          <w:lang w:val="ru-RU"/>
        </w:rPr>
        <w:t xml:space="preserve"> </w:t>
      </w:r>
      <w:hyperlink r:id="rId20" w:history="1">
        <w:r w:rsidR="005F7F3E">
          <w:rPr>
            <w:rStyle w:val="a5"/>
            <w:lang w:val="uk-UA"/>
          </w:rPr>
          <w:t>ЗРОЗУМІЛІСТЬ</w:t>
        </w:r>
      </w:hyperlink>
      <w:r w:rsidRPr="005F7F3E">
        <w:rPr>
          <w:lang w:val="ru-RU"/>
        </w:rPr>
        <w:t xml:space="preserve"> </w:t>
      </w:r>
      <w:r w:rsidR="005F7F3E" w:rsidRPr="005F7F3E">
        <w:rPr>
          <w:lang w:val="ru-RU"/>
        </w:rPr>
        <w:t>–</w:t>
      </w:r>
      <w:r w:rsidRPr="005F7F3E">
        <w:rPr>
          <w:lang w:val="ru-RU"/>
        </w:rPr>
        <w:t xml:space="preserve"> </w:t>
      </w:r>
      <w:r w:rsidR="005F7F3E">
        <w:rPr>
          <w:lang w:val="uk-UA"/>
        </w:rPr>
        <w:t xml:space="preserve">Європейська статистика представлена в чіткій та зрозумілій формі, випущена в підходящому та зручному форматі, доступна на </w:t>
      </w:r>
      <w:r w:rsidR="005F7F3E" w:rsidRPr="00DE75F4">
        <w:rPr>
          <w:color w:val="000000" w:themeColor="text1"/>
          <w:lang w:val="uk-UA"/>
        </w:rPr>
        <w:t>неупередженій</w:t>
      </w:r>
      <w:r w:rsidR="005F7F3E" w:rsidRPr="005F7F3E">
        <w:rPr>
          <w:color w:val="FF0000"/>
          <w:lang w:val="uk-UA"/>
        </w:rPr>
        <w:t xml:space="preserve"> </w:t>
      </w:r>
      <w:r w:rsidR="005F7F3E">
        <w:rPr>
          <w:lang w:val="uk-UA"/>
        </w:rPr>
        <w:t xml:space="preserve">основі з підтверджуючими метаданими та поясненням. </w:t>
      </w:r>
    </w:p>
    <w:p w:rsidR="002C7CD3" w:rsidRPr="00346212" w:rsidRDefault="005F7F3E" w:rsidP="002C7CD3">
      <w:pPr>
        <w:spacing w:after="120"/>
        <w:jc w:val="both"/>
        <w:rPr>
          <w:lang w:val="ru-RU"/>
        </w:rPr>
      </w:pPr>
      <w:r>
        <w:rPr>
          <w:lang w:val="uk-UA"/>
        </w:rPr>
        <w:t xml:space="preserve">Кожен принцип має набір показників. </w:t>
      </w:r>
    </w:p>
    <w:p w:rsidR="009F0C3F" w:rsidRPr="00346212" w:rsidRDefault="000C5886" w:rsidP="00E80A59">
      <w:pPr>
        <w:spacing w:before="120" w:after="120"/>
        <w:jc w:val="both"/>
        <w:rPr>
          <w:lang w:val="ru-RU"/>
        </w:rPr>
      </w:pPr>
      <w:r>
        <w:rPr>
          <w:noProof/>
          <w:lang w:val="uk-UA" w:eastAsia="uk-UA"/>
        </w:rPr>
        <mc:AlternateContent>
          <mc:Choice Requires="wpg">
            <w:drawing>
              <wp:anchor distT="0" distB="0" distL="114300" distR="114300" simplePos="0" relativeHeight="251658752" behindDoc="0" locked="0" layoutInCell="1" allowOverlap="1">
                <wp:simplePos x="0" y="0"/>
                <wp:positionH relativeFrom="column">
                  <wp:posOffset>953135</wp:posOffset>
                </wp:positionH>
                <wp:positionV relativeFrom="paragraph">
                  <wp:posOffset>14605</wp:posOffset>
                </wp:positionV>
                <wp:extent cx="4191000" cy="3848735"/>
                <wp:effectExtent l="10160" t="5080" r="8890"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0" cy="3848735"/>
                          <a:chOff x="7538" y="861"/>
                          <a:chExt cx="6600" cy="6061"/>
                        </a:xfrm>
                      </wpg:grpSpPr>
                      <wps:wsp>
                        <wps:cNvPr id="4" name="AutoShape 3"/>
                        <wps:cNvSpPr>
                          <a:spLocks noChangeArrowheads="1"/>
                        </wps:cNvSpPr>
                        <wps:spPr bwMode="auto">
                          <a:xfrm>
                            <a:off x="7538" y="861"/>
                            <a:ext cx="2241" cy="6061"/>
                          </a:xfrm>
                          <a:prstGeom prst="roundRect">
                            <a:avLst>
                              <a:gd name="adj" fmla="val 16667"/>
                            </a:avLst>
                          </a:prstGeom>
                          <a:solidFill>
                            <a:schemeClr val="accent6">
                              <a:lumMod val="20000"/>
                              <a:lumOff val="80000"/>
                            </a:schemeClr>
                          </a:solidFill>
                          <a:ln w="9525">
                            <a:solidFill>
                              <a:schemeClr val="accent6">
                                <a:lumMod val="100000"/>
                                <a:lumOff val="0"/>
                              </a:schemeClr>
                            </a:solidFill>
                            <a:round/>
                            <a:headEnd/>
                            <a:tailEnd/>
                          </a:ln>
                        </wps:spPr>
                        <wps:txbx>
                          <w:txbxContent>
                            <w:p w:rsidR="001B3D7F" w:rsidRPr="00221941" w:rsidRDefault="001B3D7F" w:rsidP="00D80645">
                              <w:pPr>
                                <w:jc w:val="center"/>
                                <w:rPr>
                                  <w:sz w:val="28"/>
                                </w:rPr>
                              </w:pPr>
                              <w:r w:rsidRPr="00221941">
                                <w:rPr>
                                  <w:sz w:val="28"/>
                                </w:rPr>
                                <w:t>1-6</w:t>
                              </w:r>
                            </w:p>
                            <w:p w:rsidR="001B3D7F" w:rsidRPr="00221941" w:rsidRDefault="001B3D7F" w:rsidP="00D80645">
                              <w:pPr>
                                <w:jc w:val="center"/>
                                <w:rPr>
                                  <w:sz w:val="28"/>
                                </w:rPr>
                              </w:pPr>
                              <w:r>
                                <w:rPr>
                                  <w:sz w:val="28"/>
                                </w:rPr>
                                <w:t>Інституційне</w:t>
                              </w:r>
                            </w:p>
                            <w:p w:rsidR="001B3D7F" w:rsidRDefault="001B3D7F" w:rsidP="00D80645">
                              <w:pPr>
                                <w:jc w:val="center"/>
                                <w:rPr>
                                  <w:sz w:val="28"/>
                                </w:rPr>
                              </w:pPr>
                              <w:r>
                                <w:rPr>
                                  <w:sz w:val="28"/>
                                </w:rPr>
                                <w:t>положення</w:t>
                              </w:r>
                            </w:p>
                            <w:p w:rsidR="001B3D7F" w:rsidRDefault="001B3D7F" w:rsidP="00D80645">
                              <w:pPr>
                                <w:jc w:val="center"/>
                                <w:rPr>
                                  <w:sz w:val="28"/>
                                  <w:lang w:val="en-US"/>
                                </w:rPr>
                              </w:pPr>
                            </w:p>
                            <w:p w:rsidR="001B3D7F" w:rsidRPr="002D0ADD" w:rsidRDefault="001B3D7F" w:rsidP="00D80645">
                              <w:pPr>
                                <w:rPr>
                                  <w:rFonts w:ascii="Arial" w:hAnsi="Arial" w:cs="Arial"/>
                                  <w:b/>
                                  <w:color w:val="F79646" w:themeColor="accent6"/>
                                  <w:sz w:val="18"/>
                                </w:rPr>
                              </w:pPr>
                            </w:p>
                            <w:p w:rsidR="001B3D7F" w:rsidRPr="002D0ADD" w:rsidRDefault="001B3D7F" w:rsidP="00D80645">
                              <w:pPr>
                                <w:rPr>
                                  <w:rFonts w:ascii="Arial" w:hAnsi="Arial" w:cs="Arial"/>
                                  <w:b/>
                                  <w:color w:val="F79646" w:themeColor="accent6"/>
                                  <w:sz w:val="18"/>
                                </w:rPr>
                              </w:pPr>
                              <w:r w:rsidRPr="002D0ADD">
                                <w:rPr>
                                  <w:rFonts w:ascii="Arial" w:hAnsi="Arial" w:cs="Arial"/>
                                  <w:b/>
                                  <w:color w:val="F79646" w:themeColor="accent6"/>
                                  <w:sz w:val="18"/>
                                </w:rPr>
                                <w:t>1.Професійна незалежність</w:t>
                              </w:r>
                            </w:p>
                            <w:p w:rsidR="001B3D7F" w:rsidRPr="002D0ADD" w:rsidRDefault="001B3D7F" w:rsidP="00D80645">
                              <w:pPr>
                                <w:rPr>
                                  <w:rFonts w:ascii="Arial" w:hAnsi="Arial" w:cs="Arial"/>
                                  <w:b/>
                                  <w:color w:val="F79646" w:themeColor="accent6"/>
                                  <w:sz w:val="18"/>
                                  <w:lang w:val="ru-RU"/>
                                </w:rPr>
                              </w:pPr>
                            </w:p>
                            <w:p w:rsidR="001B3D7F" w:rsidRPr="002D0ADD" w:rsidRDefault="001B3D7F" w:rsidP="00D80645">
                              <w:pPr>
                                <w:rPr>
                                  <w:rFonts w:ascii="Arial" w:hAnsi="Arial" w:cs="Arial"/>
                                  <w:b/>
                                  <w:color w:val="F79646" w:themeColor="accent6"/>
                                  <w:sz w:val="18"/>
                                </w:rPr>
                              </w:pPr>
                              <w:r w:rsidRPr="002D0ADD">
                                <w:rPr>
                                  <w:rFonts w:ascii="Arial" w:hAnsi="Arial" w:cs="Arial"/>
                                  <w:b/>
                                  <w:color w:val="F79646" w:themeColor="accent6"/>
                                  <w:sz w:val="18"/>
                                </w:rPr>
                                <w:t>2.Мандат для збору даних</w:t>
                              </w:r>
                            </w:p>
                            <w:p w:rsidR="001B3D7F" w:rsidRPr="002D0ADD" w:rsidRDefault="001B3D7F" w:rsidP="00D80645">
                              <w:pPr>
                                <w:rPr>
                                  <w:rFonts w:ascii="Arial" w:hAnsi="Arial" w:cs="Arial"/>
                                  <w:b/>
                                  <w:color w:val="F79646" w:themeColor="accent6"/>
                                  <w:sz w:val="18"/>
                                </w:rPr>
                              </w:pPr>
                            </w:p>
                            <w:p w:rsidR="001B3D7F" w:rsidRPr="002D0ADD" w:rsidRDefault="001B3D7F" w:rsidP="00D80645">
                              <w:pPr>
                                <w:rPr>
                                  <w:rFonts w:ascii="Arial" w:hAnsi="Arial" w:cs="Arial"/>
                                  <w:b/>
                                  <w:color w:val="F79646" w:themeColor="accent6"/>
                                  <w:sz w:val="18"/>
                                </w:rPr>
                              </w:pPr>
                              <w:r w:rsidRPr="002D0ADD">
                                <w:rPr>
                                  <w:rFonts w:ascii="Arial" w:hAnsi="Arial" w:cs="Arial"/>
                                  <w:b/>
                                  <w:color w:val="F79646" w:themeColor="accent6"/>
                                  <w:sz w:val="18"/>
                                </w:rPr>
                                <w:t>3.Адекватність ресурсів</w:t>
                              </w:r>
                            </w:p>
                            <w:p w:rsidR="001B3D7F" w:rsidRPr="002D0ADD" w:rsidRDefault="001B3D7F" w:rsidP="00D80645">
                              <w:pPr>
                                <w:rPr>
                                  <w:rFonts w:ascii="Arial" w:hAnsi="Arial" w:cs="Arial"/>
                                  <w:b/>
                                  <w:color w:val="F79646" w:themeColor="accent6"/>
                                  <w:sz w:val="18"/>
                                </w:rPr>
                              </w:pPr>
                            </w:p>
                            <w:p w:rsidR="001B3D7F" w:rsidRPr="002D0ADD" w:rsidRDefault="001B3D7F" w:rsidP="00D80645">
                              <w:pPr>
                                <w:rPr>
                                  <w:rFonts w:ascii="Arial" w:hAnsi="Arial" w:cs="Arial"/>
                                  <w:b/>
                                  <w:color w:val="F79646" w:themeColor="accent6"/>
                                  <w:sz w:val="18"/>
                                </w:rPr>
                              </w:pPr>
                              <w:r w:rsidRPr="002D0ADD">
                                <w:rPr>
                                  <w:rFonts w:ascii="Arial" w:hAnsi="Arial" w:cs="Arial"/>
                                  <w:b/>
                                  <w:color w:val="F79646" w:themeColor="accent6"/>
                                  <w:sz w:val="18"/>
                                </w:rPr>
                                <w:t>4.Відданість якості</w:t>
                              </w:r>
                            </w:p>
                            <w:p w:rsidR="001B3D7F" w:rsidRPr="002D0ADD" w:rsidRDefault="001B3D7F" w:rsidP="00D80645">
                              <w:pPr>
                                <w:rPr>
                                  <w:rFonts w:ascii="Arial" w:hAnsi="Arial" w:cs="Arial"/>
                                  <w:b/>
                                  <w:color w:val="F79646" w:themeColor="accent6"/>
                                  <w:sz w:val="18"/>
                                </w:rPr>
                              </w:pPr>
                            </w:p>
                            <w:p w:rsidR="001B3D7F" w:rsidRPr="002D0ADD" w:rsidRDefault="001B3D7F" w:rsidP="00D80645">
                              <w:pPr>
                                <w:rPr>
                                  <w:rFonts w:ascii="Arial" w:hAnsi="Arial" w:cs="Arial"/>
                                  <w:b/>
                                  <w:color w:val="F79646" w:themeColor="accent6"/>
                                  <w:sz w:val="18"/>
                                </w:rPr>
                              </w:pPr>
                              <w:r w:rsidRPr="002D0ADD">
                                <w:rPr>
                                  <w:rFonts w:ascii="Arial" w:hAnsi="Arial" w:cs="Arial"/>
                                  <w:b/>
                                  <w:color w:val="F79646" w:themeColor="accent6"/>
                                  <w:sz w:val="18"/>
                                </w:rPr>
                                <w:t>5.Статистична конфіденційність</w:t>
                              </w:r>
                            </w:p>
                            <w:p w:rsidR="001B3D7F" w:rsidRPr="002D0ADD" w:rsidRDefault="001B3D7F" w:rsidP="00D80645">
                              <w:pPr>
                                <w:rPr>
                                  <w:rFonts w:ascii="Arial" w:hAnsi="Arial" w:cs="Arial"/>
                                  <w:b/>
                                  <w:color w:val="F79646" w:themeColor="accent6"/>
                                  <w:sz w:val="18"/>
                                </w:rPr>
                              </w:pPr>
                            </w:p>
                            <w:p w:rsidR="001B3D7F" w:rsidRPr="002D0ADD" w:rsidRDefault="001B3D7F" w:rsidP="00D80645">
                              <w:pPr>
                                <w:rPr>
                                  <w:rFonts w:ascii="Arial" w:hAnsi="Arial" w:cs="Arial"/>
                                  <w:b/>
                                  <w:color w:val="F79646" w:themeColor="accent6"/>
                                  <w:sz w:val="18"/>
                                  <w:lang w:val="ru-RU"/>
                                </w:rPr>
                              </w:pPr>
                              <w:r>
                                <w:rPr>
                                  <w:rFonts w:ascii="Arial" w:hAnsi="Arial" w:cs="Arial"/>
                                  <w:b/>
                                  <w:color w:val="F79646" w:themeColor="accent6"/>
                                  <w:sz w:val="18"/>
                                </w:rPr>
                                <w:t>6.Н</w:t>
                              </w:r>
                              <w:r>
                                <w:rPr>
                                  <w:rFonts w:ascii="Arial" w:hAnsi="Arial" w:cs="Arial"/>
                                  <w:b/>
                                  <w:color w:val="F79646" w:themeColor="accent6"/>
                                  <w:sz w:val="18"/>
                                  <w:lang w:val="ru-RU"/>
                                </w:rPr>
                                <w:t>е</w:t>
                              </w:r>
                              <w:r>
                                <w:rPr>
                                  <w:rFonts w:ascii="Arial" w:hAnsi="Arial" w:cs="Arial"/>
                                  <w:b/>
                                  <w:color w:val="F79646" w:themeColor="accent6"/>
                                  <w:sz w:val="18"/>
                                </w:rPr>
                                <w:t>упередженість</w:t>
                              </w:r>
                              <w:r>
                                <w:rPr>
                                  <w:rFonts w:ascii="Arial" w:hAnsi="Arial" w:cs="Arial"/>
                                  <w:b/>
                                  <w:color w:val="F79646" w:themeColor="accent6"/>
                                  <w:sz w:val="18"/>
                                  <w:lang w:val="ru-RU"/>
                                </w:rPr>
                                <w:t xml:space="preserve"> </w:t>
                              </w:r>
                              <w:r w:rsidRPr="002D0ADD">
                                <w:rPr>
                                  <w:rFonts w:ascii="Arial" w:hAnsi="Arial" w:cs="Arial"/>
                                  <w:b/>
                                  <w:color w:val="F79646" w:themeColor="accent6"/>
                                  <w:sz w:val="18"/>
                                </w:rPr>
                                <w:t>та об’єктивність</w:t>
                              </w:r>
                            </w:p>
                            <w:p w:rsidR="001B3D7F" w:rsidRPr="002D0ADD" w:rsidRDefault="001B3D7F" w:rsidP="00D80645">
                              <w:pPr>
                                <w:pStyle w:val="aa"/>
                                <w:jc w:val="center"/>
                                <w:rPr>
                                  <w:rFonts w:ascii="Arial" w:hAnsi="Arial" w:cs="Arial"/>
                                  <w:sz w:val="18"/>
                                  <w:lang w:val="ru-RU"/>
                                </w:rPr>
                              </w:pPr>
                            </w:p>
                            <w:p w:rsidR="001B3D7F" w:rsidRPr="002D0ADD" w:rsidRDefault="001B3D7F" w:rsidP="00D80645">
                              <w:pPr>
                                <w:jc w:val="center"/>
                                <w:rPr>
                                  <w:rFonts w:ascii="Arial" w:hAnsi="Arial" w:cs="Arial"/>
                                  <w:sz w:val="18"/>
                                  <w:lang w:val="ru-RU"/>
                                </w:rPr>
                              </w:pPr>
                            </w:p>
                          </w:txbxContent>
                        </wps:txbx>
                        <wps:bodyPr rot="0" vert="horz" wrap="square" lIns="91440" tIns="45720" rIns="91440" bIns="45720" anchor="t" anchorCtr="0" upright="1">
                          <a:noAutofit/>
                        </wps:bodyPr>
                      </wps:wsp>
                      <wps:wsp>
                        <wps:cNvPr id="5" name="AutoShape 4"/>
                        <wps:cNvSpPr>
                          <a:spLocks noChangeArrowheads="1"/>
                        </wps:cNvSpPr>
                        <wps:spPr bwMode="auto">
                          <a:xfrm>
                            <a:off x="9879" y="861"/>
                            <a:ext cx="1966" cy="6061"/>
                          </a:xfrm>
                          <a:prstGeom prst="roundRect">
                            <a:avLst>
                              <a:gd name="adj" fmla="val 16667"/>
                            </a:avLst>
                          </a:prstGeom>
                          <a:solidFill>
                            <a:schemeClr val="accent6">
                              <a:lumMod val="20000"/>
                              <a:lumOff val="80000"/>
                            </a:schemeClr>
                          </a:solidFill>
                          <a:ln w="9525">
                            <a:solidFill>
                              <a:schemeClr val="accent6">
                                <a:lumMod val="100000"/>
                                <a:lumOff val="0"/>
                              </a:schemeClr>
                            </a:solidFill>
                            <a:round/>
                            <a:headEnd/>
                            <a:tailEnd/>
                          </a:ln>
                        </wps:spPr>
                        <wps:txbx>
                          <w:txbxContent>
                            <w:p w:rsidR="001B3D7F" w:rsidRPr="00221941" w:rsidRDefault="001B3D7F" w:rsidP="00D80645">
                              <w:pPr>
                                <w:jc w:val="center"/>
                                <w:rPr>
                                  <w:sz w:val="28"/>
                                </w:rPr>
                              </w:pPr>
                              <w:r w:rsidRPr="00221941">
                                <w:rPr>
                                  <w:sz w:val="28"/>
                                </w:rPr>
                                <w:t>7-10</w:t>
                              </w:r>
                            </w:p>
                            <w:p w:rsidR="001B3D7F" w:rsidRDefault="001B3D7F" w:rsidP="00D80645">
                              <w:pPr>
                                <w:jc w:val="center"/>
                                <w:rPr>
                                  <w:sz w:val="28"/>
                                </w:rPr>
                              </w:pPr>
                              <w:r w:rsidRPr="00221941">
                                <w:rPr>
                                  <w:sz w:val="28"/>
                                </w:rPr>
                                <w:t>Статистичні процеси</w:t>
                              </w:r>
                            </w:p>
                            <w:p w:rsidR="001B3D7F" w:rsidRDefault="001B3D7F" w:rsidP="00D80645">
                              <w:pPr>
                                <w:jc w:val="center"/>
                                <w:rPr>
                                  <w:sz w:val="28"/>
                                </w:rPr>
                              </w:pPr>
                            </w:p>
                            <w:p w:rsidR="001B3D7F" w:rsidRPr="002D0ADD" w:rsidRDefault="001B3D7F" w:rsidP="00D80645">
                              <w:pPr>
                                <w:rPr>
                                  <w:sz w:val="18"/>
                                  <w:szCs w:val="18"/>
                                </w:rPr>
                              </w:pPr>
                            </w:p>
                            <w:p w:rsidR="001B3D7F" w:rsidRPr="002D0ADD" w:rsidRDefault="001B3D7F" w:rsidP="00D80645">
                              <w:pPr>
                                <w:rPr>
                                  <w:rFonts w:ascii="Arial" w:hAnsi="Arial" w:cs="Arial"/>
                                  <w:b/>
                                  <w:color w:val="F79646" w:themeColor="accent6"/>
                                  <w:sz w:val="18"/>
                                  <w:szCs w:val="18"/>
                                </w:rPr>
                              </w:pPr>
                              <w:r w:rsidRPr="002D0ADD">
                                <w:rPr>
                                  <w:rFonts w:ascii="Arial" w:hAnsi="Arial" w:cs="Arial"/>
                                  <w:b/>
                                  <w:color w:val="F79646" w:themeColor="accent6"/>
                                  <w:sz w:val="18"/>
                                  <w:szCs w:val="18"/>
                                </w:rPr>
                                <w:t xml:space="preserve">7. Надійна методологія </w:t>
                              </w:r>
                            </w:p>
                            <w:p w:rsidR="001B3D7F" w:rsidRPr="002D0ADD" w:rsidRDefault="001B3D7F" w:rsidP="00D80645">
                              <w:pPr>
                                <w:rPr>
                                  <w:rFonts w:ascii="Arial" w:hAnsi="Arial" w:cs="Arial"/>
                                  <w:b/>
                                  <w:color w:val="F79646" w:themeColor="accent6"/>
                                  <w:sz w:val="18"/>
                                  <w:szCs w:val="18"/>
                                </w:rPr>
                              </w:pPr>
                            </w:p>
                            <w:p w:rsidR="001B3D7F" w:rsidRPr="002D0ADD" w:rsidRDefault="001B3D7F" w:rsidP="00D80645">
                              <w:pPr>
                                <w:rPr>
                                  <w:rFonts w:ascii="Arial" w:hAnsi="Arial" w:cs="Arial"/>
                                  <w:b/>
                                  <w:color w:val="F79646" w:themeColor="accent6"/>
                                  <w:sz w:val="18"/>
                                  <w:szCs w:val="18"/>
                                </w:rPr>
                              </w:pPr>
                              <w:r w:rsidRPr="002D0ADD">
                                <w:rPr>
                                  <w:rFonts w:ascii="Arial" w:hAnsi="Arial" w:cs="Arial"/>
                                  <w:b/>
                                  <w:color w:val="F79646" w:themeColor="accent6"/>
                                  <w:sz w:val="18"/>
                                  <w:szCs w:val="18"/>
                                </w:rPr>
                                <w:t>8. Належні статистичні процедури</w:t>
                              </w:r>
                            </w:p>
                            <w:p w:rsidR="001B3D7F" w:rsidRPr="002D0ADD" w:rsidRDefault="001B3D7F" w:rsidP="00D80645">
                              <w:pPr>
                                <w:rPr>
                                  <w:rFonts w:ascii="Arial" w:hAnsi="Arial" w:cs="Arial"/>
                                  <w:b/>
                                  <w:color w:val="F79646" w:themeColor="accent6"/>
                                  <w:sz w:val="18"/>
                                  <w:szCs w:val="18"/>
                                </w:rPr>
                              </w:pPr>
                            </w:p>
                            <w:p w:rsidR="001B3D7F" w:rsidRPr="002D0ADD" w:rsidRDefault="001B3D7F" w:rsidP="00D80645">
                              <w:pPr>
                                <w:rPr>
                                  <w:rFonts w:ascii="Arial" w:hAnsi="Arial" w:cs="Arial"/>
                                  <w:b/>
                                  <w:color w:val="F79646" w:themeColor="accent6"/>
                                  <w:sz w:val="18"/>
                                  <w:szCs w:val="18"/>
                                </w:rPr>
                              </w:pPr>
                              <w:r w:rsidRPr="002D0ADD">
                                <w:rPr>
                                  <w:rFonts w:ascii="Arial" w:hAnsi="Arial" w:cs="Arial"/>
                                  <w:b/>
                                  <w:color w:val="F79646" w:themeColor="accent6"/>
                                  <w:sz w:val="18"/>
                                  <w:szCs w:val="18"/>
                                </w:rPr>
                                <w:t>9. Не надмірне навантаження на респондентів</w:t>
                              </w:r>
                            </w:p>
                            <w:p w:rsidR="001B3D7F" w:rsidRPr="002D0ADD" w:rsidRDefault="001B3D7F" w:rsidP="00D80645">
                              <w:pPr>
                                <w:rPr>
                                  <w:rFonts w:ascii="Arial" w:hAnsi="Arial" w:cs="Arial"/>
                                  <w:b/>
                                  <w:color w:val="F79646" w:themeColor="accent6"/>
                                  <w:sz w:val="18"/>
                                  <w:szCs w:val="18"/>
                                </w:rPr>
                              </w:pPr>
                            </w:p>
                            <w:p w:rsidR="001B3D7F" w:rsidRPr="002D0ADD" w:rsidRDefault="001B3D7F" w:rsidP="00D80645">
                              <w:pPr>
                                <w:rPr>
                                  <w:rFonts w:ascii="Arial" w:hAnsi="Arial" w:cs="Arial"/>
                                  <w:b/>
                                  <w:color w:val="F79646" w:themeColor="accent6"/>
                                  <w:sz w:val="18"/>
                                  <w:szCs w:val="18"/>
                                  <w:lang w:val="uk-UA"/>
                                </w:rPr>
                              </w:pPr>
                              <w:r w:rsidRPr="002D0ADD">
                                <w:rPr>
                                  <w:rFonts w:ascii="Arial" w:hAnsi="Arial" w:cs="Arial"/>
                                  <w:b/>
                                  <w:color w:val="F79646" w:themeColor="accent6"/>
                                  <w:sz w:val="18"/>
                                  <w:szCs w:val="18"/>
                                </w:rPr>
                                <w:t>10. Ефективна вартість</w:t>
                              </w:r>
                            </w:p>
                            <w:p w:rsidR="001B3D7F" w:rsidRPr="002D0ADD" w:rsidRDefault="001B3D7F" w:rsidP="00D80645">
                              <w:pPr>
                                <w:jc w:val="center"/>
                                <w:rPr>
                                  <w:rFonts w:ascii="Arial" w:hAnsi="Arial" w:cs="Arial"/>
                                  <w:sz w:val="18"/>
                                  <w:szCs w:val="18"/>
                                </w:rPr>
                              </w:pPr>
                            </w:p>
                          </w:txbxContent>
                        </wps:txbx>
                        <wps:bodyPr rot="0" vert="horz" wrap="square" lIns="91440" tIns="45720" rIns="91440" bIns="45720" anchor="t" anchorCtr="0" upright="1">
                          <a:noAutofit/>
                        </wps:bodyPr>
                      </wps:wsp>
                      <wps:wsp>
                        <wps:cNvPr id="6" name="AutoShape 5"/>
                        <wps:cNvSpPr>
                          <a:spLocks noChangeArrowheads="1"/>
                        </wps:cNvSpPr>
                        <wps:spPr bwMode="auto">
                          <a:xfrm>
                            <a:off x="11946" y="861"/>
                            <a:ext cx="2192" cy="6061"/>
                          </a:xfrm>
                          <a:prstGeom prst="roundRect">
                            <a:avLst>
                              <a:gd name="adj" fmla="val 16667"/>
                            </a:avLst>
                          </a:prstGeom>
                          <a:solidFill>
                            <a:schemeClr val="accent6">
                              <a:lumMod val="20000"/>
                              <a:lumOff val="80000"/>
                            </a:schemeClr>
                          </a:solidFill>
                          <a:ln w="9525">
                            <a:solidFill>
                              <a:schemeClr val="accent6">
                                <a:lumMod val="100000"/>
                                <a:lumOff val="0"/>
                              </a:schemeClr>
                            </a:solidFill>
                            <a:round/>
                            <a:headEnd/>
                            <a:tailEnd/>
                          </a:ln>
                        </wps:spPr>
                        <wps:txbx>
                          <w:txbxContent>
                            <w:p w:rsidR="001B3D7F" w:rsidRPr="00221941" w:rsidRDefault="001B3D7F" w:rsidP="00D80645">
                              <w:pPr>
                                <w:jc w:val="center"/>
                                <w:rPr>
                                  <w:sz w:val="28"/>
                                </w:rPr>
                              </w:pPr>
                              <w:r w:rsidRPr="00221941">
                                <w:rPr>
                                  <w:sz w:val="28"/>
                                </w:rPr>
                                <w:t>11-15</w:t>
                              </w:r>
                            </w:p>
                            <w:p w:rsidR="001B3D7F" w:rsidRDefault="001B3D7F" w:rsidP="00D80645">
                              <w:pPr>
                                <w:jc w:val="center"/>
                                <w:rPr>
                                  <w:sz w:val="28"/>
                                </w:rPr>
                              </w:pPr>
                              <w:r w:rsidRPr="00221941">
                                <w:rPr>
                                  <w:sz w:val="28"/>
                                </w:rPr>
                                <w:t>Статистичний випуск</w:t>
                              </w:r>
                            </w:p>
                            <w:p w:rsidR="001B3D7F" w:rsidRDefault="001B3D7F" w:rsidP="00D80645">
                              <w:pPr>
                                <w:jc w:val="center"/>
                                <w:rPr>
                                  <w:sz w:val="28"/>
                                </w:rPr>
                              </w:pPr>
                            </w:p>
                            <w:p w:rsidR="001B3D7F" w:rsidRPr="002D0ADD" w:rsidRDefault="001B3D7F" w:rsidP="00D80645">
                              <w:pPr>
                                <w:jc w:val="center"/>
                                <w:rPr>
                                  <w:rFonts w:ascii="Arial" w:hAnsi="Arial" w:cs="Arial"/>
                                  <w:b/>
                                  <w:color w:val="F79646" w:themeColor="accent6"/>
                                  <w:sz w:val="18"/>
                                  <w:szCs w:val="18"/>
                                  <w:lang w:val="en-US"/>
                                </w:rPr>
                              </w:pPr>
                            </w:p>
                            <w:p w:rsidR="001B3D7F" w:rsidRPr="002D0ADD" w:rsidRDefault="001B3D7F" w:rsidP="00D80645">
                              <w:pPr>
                                <w:rPr>
                                  <w:rFonts w:ascii="Arial" w:hAnsi="Arial" w:cs="Arial"/>
                                  <w:b/>
                                  <w:color w:val="F79646" w:themeColor="accent6"/>
                                  <w:sz w:val="18"/>
                                  <w:szCs w:val="18"/>
                                  <w:lang w:val="en-US"/>
                                </w:rPr>
                              </w:pPr>
                              <w:r w:rsidRPr="002D0ADD">
                                <w:rPr>
                                  <w:rFonts w:ascii="Arial" w:hAnsi="Arial" w:cs="Arial"/>
                                  <w:b/>
                                  <w:color w:val="F79646" w:themeColor="accent6"/>
                                  <w:sz w:val="18"/>
                                  <w:szCs w:val="18"/>
                                </w:rPr>
                                <w:t>11. Релевантність</w:t>
                              </w:r>
                            </w:p>
                            <w:p w:rsidR="001B3D7F" w:rsidRPr="002D0ADD" w:rsidRDefault="001B3D7F" w:rsidP="00D80645">
                              <w:pPr>
                                <w:rPr>
                                  <w:rFonts w:ascii="Arial" w:hAnsi="Arial" w:cs="Arial"/>
                                  <w:b/>
                                  <w:color w:val="F79646" w:themeColor="accent6"/>
                                  <w:sz w:val="18"/>
                                  <w:szCs w:val="18"/>
                                  <w:lang w:val="en-US"/>
                                </w:rPr>
                              </w:pPr>
                            </w:p>
                            <w:p w:rsidR="001B3D7F" w:rsidRPr="002D0ADD" w:rsidRDefault="001B3D7F" w:rsidP="00D80645">
                              <w:pPr>
                                <w:rPr>
                                  <w:rFonts w:ascii="Arial" w:hAnsi="Arial" w:cs="Arial"/>
                                  <w:b/>
                                  <w:color w:val="F79646" w:themeColor="accent6"/>
                                  <w:sz w:val="18"/>
                                  <w:szCs w:val="18"/>
                                  <w:lang w:val="en-US"/>
                                </w:rPr>
                              </w:pPr>
                            </w:p>
                            <w:p w:rsidR="001B3D7F" w:rsidRPr="002D0ADD" w:rsidRDefault="001B3D7F" w:rsidP="00D80645">
                              <w:pPr>
                                <w:rPr>
                                  <w:rFonts w:ascii="Arial" w:hAnsi="Arial" w:cs="Arial"/>
                                  <w:b/>
                                  <w:color w:val="F79646" w:themeColor="accent6"/>
                                  <w:sz w:val="18"/>
                                  <w:szCs w:val="18"/>
                                  <w:lang w:val="en-US"/>
                                </w:rPr>
                              </w:pPr>
                              <w:r w:rsidRPr="002D0ADD">
                                <w:rPr>
                                  <w:rFonts w:ascii="Arial" w:hAnsi="Arial" w:cs="Arial"/>
                                  <w:b/>
                                  <w:color w:val="F79646" w:themeColor="accent6"/>
                                  <w:sz w:val="18"/>
                                  <w:szCs w:val="18"/>
                                </w:rPr>
                                <w:t>12. Точність та надійність</w:t>
                              </w:r>
                            </w:p>
                            <w:p w:rsidR="001B3D7F" w:rsidRPr="002D0ADD" w:rsidRDefault="001B3D7F" w:rsidP="00D80645">
                              <w:pPr>
                                <w:rPr>
                                  <w:rFonts w:ascii="Arial" w:hAnsi="Arial" w:cs="Arial"/>
                                  <w:b/>
                                  <w:color w:val="F79646" w:themeColor="accent6"/>
                                  <w:sz w:val="18"/>
                                  <w:szCs w:val="18"/>
                                  <w:lang w:val="en-US"/>
                                </w:rPr>
                              </w:pPr>
                            </w:p>
                            <w:p w:rsidR="001B3D7F" w:rsidRPr="002D0ADD" w:rsidRDefault="001B3D7F" w:rsidP="00D80645">
                              <w:pPr>
                                <w:rPr>
                                  <w:rFonts w:ascii="Arial" w:hAnsi="Arial" w:cs="Arial"/>
                                  <w:b/>
                                  <w:color w:val="F79646" w:themeColor="accent6"/>
                                  <w:sz w:val="18"/>
                                  <w:szCs w:val="18"/>
                                  <w:lang w:val="en-US"/>
                                </w:rPr>
                              </w:pPr>
                              <w:r w:rsidRPr="002D0ADD">
                                <w:rPr>
                                  <w:rFonts w:ascii="Arial" w:hAnsi="Arial" w:cs="Arial"/>
                                  <w:b/>
                                  <w:color w:val="F79646" w:themeColor="accent6"/>
                                  <w:sz w:val="18"/>
                                  <w:szCs w:val="18"/>
                                </w:rPr>
                                <w:t>13. Своєчасність та пунктуальність</w:t>
                              </w:r>
                            </w:p>
                            <w:p w:rsidR="001B3D7F" w:rsidRPr="002D0ADD" w:rsidRDefault="001B3D7F" w:rsidP="00D80645">
                              <w:pPr>
                                <w:rPr>
                                  <w:rFonts w:ascii="Arial" w:hAnsi="Arial" w:cs="Arial"/>
                                  <w:b/>
                                  <w:color w:val="F79646" w:themeColor="accent6"/>
                                  <w:sz w:val="18"/>
                                  <w:szCs w:val="18"/>
                                  <w:lang w:val="en-US"/>
                                </w:rPr>
                              </w:pPr>
                            </w:p>
                            <w:p w:rsidR="001B3D7F" w:rsidRPr="002D0ADD" w:rsidRDefault="001B3D7F" w:rsidP="00D80645">
                              <w:pPr>
                                <w:rPr>
                                  <w:rFonts w:ascii="Arial" w:hAnsi="Arial" w:cs="Arial"/>
                                  <w:b/>
                                  <w:color w:val="F79646" w:themeColor="accent6"/>
                                  <w:sz w:val="18"/>
                                  <w:szCs w:val="18"/>
                                  <w:lang w:val="en-US"/>
                                </w:rPr>
                              </w:pPr>
                              <w:r w:rsidRPr="002D0ADD">
                                <w:rPr>
                                  <w:rFonts w:ascii="Arial" w:hAnsi="Arial" w:cs="Arial"/>
                                  <w:b/>
                                  <w:color w:val="F79646" w:themeColor="accent6"/>
                                  <w:sz w:val="18"/>
                                  <w:szCs w:val="18"/>
                                </w:rPr>
                                <w:t>14. Послідовність та співставність</w:t>
                              </w:r>
                            </w:p>
                            <w:p w:rsidR="001B3D7F" w:rsidRPr="002D0ADD" w:rsidRDefault="001B3D7F" w:rsidP="00D80645">
                              <w:pPr>
                                <w:rPr>
                                  <w:rFonts w:ascii="Arial" w:hAnsi="Arial" w:cs="Arial"/>
                                  <w:b/>
                                  <w:color w:val="F79646" w:themeColor="accent6"/>
                                  <w:sz w:val="18"/>
                                  <w:szCs w:val="18"/>
                                  <w:lang w:val="en-US"/>
                                </w:rPr>
                              </w:pPr>
                            </w:p>
                            <w:p w:rsidR="001B3D7F" w:rsidRPr="002D0ADD" w:rsidRDefault="001B3D7F" w:rsidP="00D80645">
                              <w:pPr>
                                <w:rPr>
                                  <w:rFonts w:ascii="Arial" w:hAnsi="Arial" w:cs="Arial"/>
                                  <w:b/>
                                  <w:color w:val="F79646" w:themeColor="accent6"/>
                                  <w:sz w:val="18"/>
                                  <w:szCs w:val="18"/>
                                </w:rPr>
                              </w:pPr>
                              <w:r w:rsidRPr="002D0ADD">
                                <w:rPr>
                                  <w:rFonts w:ascii="Arial" w:hAnsi="Arial" w:cs="Arial"/>
                                  <w:b/>
                                  <w:color w:val="F79646" w:themeColor="accent6"/>
                                  <w:sz w:val="18"/>
                                  <w:szCs w:val="18"/>
                                </w:rPr>
                                <w:t>15. Доступність та зрозумілість</w:t>
                              </w:r>
                            </w:p>
                            <w:p w:rsidR="001B3D7F" w:rsidRDefault="001B3D7F" w:rsidP="00D80645">
                              <w:pPr>
                                <w:jc w:val="center"/>
                                <w:rPr>
                                  <w:sz w:val="28"/>
                                </w:rPr>
                              </w:pPr>
                            </w:p>
                            <w:p w:rsidR="001B3D7F" w:rsidRDefault="001B3D7F" w:rsidP="00D80645">
                              <w:pPr>
                                <w:jc w:val="center"/>
                                <w:rPr>
                                  <w:sz w:val="28"/>
                                </w:rPr>
                              </w:pPr>
                            </w:p>
                            <w:p w:rsidR="001B3D7F" w:rsidRDefault="001B3D7F" w:rsidP="00D80645">
                              <w:pPr>
                                <w:jc w:val="center"/>
                                <w:rPr>
                                  <w:sz w:val="28"/>
                                </w:rPr>
                              </w:pPr>
                            </w:p>
                            <w:p w:rsidR="001B3D7F" w:rsidRPr="00221941" w:rsidRDefault="001B3D7F" w:rsidP="00D80645">
                              <w:pPr>
                                <w:jc w:val="center"/>
                                <w:rPr>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75.05pt;margin-top:1.15pt;width:330pt;height:303.05pt;z-index:251658752" coordorigin="7538,861" coordsize="6600,6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">
                <v:roundrect id="AutoShape 3" o:spid="_x0000_s1027" style="position:absolute;left:7538;top:861;width:2241;height:60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SvPMMA&#10;AADaAAAADwAAAGRycy9kb3ducmV2LnhtbESPQWsCMRSE7wX/Q3iCt5pYSpHV7KJii3gptT3o7ZE8&#10;dxc3L8smavrvm0Khx2FmvmGWVXKduNEQWs8aZlMFgth423Kt4evz9XEOIkRki51n0vBNAapy9LDE&#10;wvo7f9DtEGuRIRwK1NDE2BdSBtOQwzD1PXH2zn5wGLMcamkHvGe46+STUi/SYct5ocGeNg2Zy+Hq&#10;NJj5fubVKe7V9d2bdHpLW3Vcaz0Zp9UCRKQU/8N/7Z3V8Ay/V/IN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SvPMMAAADaAAAADwAAAAAAAAAAAAAAAACYAgAAZHJzL2Rv&#10;d25yZXYueG1sUEsFBgAAAAAEAAQA9QAAAIgDAAAAAA==&#10;" fillcolor="#fde9d9 [665]" strokecolor="#f79646 [3209]">
                  <v:textbox>
                    <w:txbxContent>
                      <w:p w:rsidR="001B3D7F" w:rsidRPr="00221941" w:rsidRDefault="001B3D7F" w:rsidP="00D80645">
                        <w:pPr>
                          <w:jc w:val="center"/>
                          <w:rPr>
                            <w:sz w:val="28"/>
                          </w:rPr>
                        </w:pPr>
                        <w:r w:rsidRPr="00221941">
                          <w:rPr>
                            <w:sz w:val="28"/>
                          </w:rPr>
                          <w:t>1-6</w:t>
                        </w:r>
                      </w:p>
                      <w:p w:rsidR="001B3D7F" w:rsidRPr="00221941" w:rsidRDefault="001B3D7F" w:rsidP="00D80645">
                        <w:pPr>
                          <w:jc w:val="center"/>
                          <w:rPr>
                            <w:sz w:val="28"/>
                          </w:rPr>
                        </w:pPr>
                        <w:r>
                          <w:rPr>
                            <w:sz w:val="28"/>
                          </w:rPr>
                          <w:t>Інституційне</w:t>
                        </w:r>
                      </w:p>
                      <w:p w:rsidR="001B3D7F" w:rsidRDefault="001B3D7F" w:rsidP="00D80645">
                        <w:pPr>
                          <w:jc w:val="center"/>
                          <w:rPr>
                            <w:sz w:val="28"/>
                          </w:rPr>
                        </w:pPr>
                        <w:r>
                          <w:rPr>
                            <w:sz w:val="28"/>
                          </w:rPr>
                          <w:t>положення</w:t>
                        </w:r>
                      </w:p>
                      <w:p w:rsidR="001B3D7F" w:rsidRDefault="001B3D7F" w:rsidP="00D80645">
                        <w:pPr>
                          <w:jc w:val="center"/>
                          <w:rPr>
                            <w:sz w:val="28"/>
                            <w:lang w:val="en-US"/>
                          </w:rPr>
                        </w:pPr>
                      </w:p>
                      <w:p w:rsidR="001B3D7F" w:rsidRPr="002D0ADD" w:rsidRDefault="001B3D7F" w:rsidP="00D80645">
                        <w:pPr>
                          <w:rPr>
                            <w:rFonts w:ascii="Arial" w:hAnsi="Arial" w:cs="Arial"/>
                            <w:b/>
                            <w:color w:val="F79646" w:themeColor="accent6"/>
                            <w:sz w:val="18"/>
                          </w:rPr>
                        </w:pPr>
                      </w:p>
                      <w:p w:rsidR="001B3D7F" w:rsidRPr="002D0ADD" w:rsidRDefault="001B3D7F" w:rsidP="00D80645">
                        <w:pPr>
                          <w:rPr>
                            <w:rFonts w:ascii="Arial" w:hAnsi="Arial" w:cs="Arial"/>
                            <w:b/>
                            <w:color w:val="F79646" w:themeColor="accent6"/>
                            <w:sz w:val="18"/>
                          </w:rPr>
                        </w:pPr>
                        <w:r w:rsidRPr="002D0ADD">
                          <w:rPr>
                            <w:rFonts w:ascii="Arial" w:hAnsi="Arial" w:cs="Arial"/>
                            <w:b/>
                            <w:color w:val="F79646" w:themeColor="accent6"/>
                            <w:sz w:val="18"/>
                          </w:rPr>
                          <w:t>1.Професійна незалежність</w:t>
                        </w:r>
                      </w:p>
                      <w:p w:rsidR="001B3D7F" w:rsidRPr="002D0ADD" w:rsidRDefault="001B3D7F" w:rsidP="00D80645">
                        <w:pPr>
                          <w:rPr>
                            <w:rFonts w:ascii="Arial" w:hAnsi="Arial" w:cs="Arial"/>
                            <w:b/>
                            <w:color w:val="F79646" w:themeColor="accent6"/>
                            <w:sz w:val="18"/>
                            <w:lang w:val="ru-RU"/>
                          </w:rPr>
                        </w:pPr>
                      </w:p>
                      <w:p w:rsidR="001B3D7F" w:rsidRPr="002D0ADD" w:rsidRDefault="001B3D7F" w:rsidP="00D80645">
                        <w:pPr>
                          <w:rPr>
                            <w:rFonts w:ascii="Arial" w:hAnsi="Arial" w:cs="Arial"/>
                            <w:b/>
                            <w:color w:val="F79646" w:themeColor="accent6"/>
                            <w:sz w:val="18"/>
                          </w:rPr>
                        </w:pPr>
                        <w:r w:rsidRPr="002D0ADD">
                          <w:rPr>
                            <w:rFonts w:ascii="Arial" w:hAnsi="Arial" w:cs="Arial"/>
                            <w:b/>
                            <w:color w:val="F79646" w:themeColor="accent6"/>
                            <w:sz w:val="18"/>
                          </w:rPr>
                          <w:t>2.Мандат для збору даних</w:t>
                        </w:r>
                      </w:p>
                      <w:p w:rsidR="001B3D7F" w:rsidRPr="002D0ADD" w:rsidRDefault="001B3D7F" w:rsidP="00D80645">
                        <w:pPr>
                          <w:rPr>
                            <w:rFonts w:ascii="Arial" w:hAnsi="Arial" w:cs="Arial"/>
                            <w:b/>
                            <w:color w:val="F79646" w:themeColor="accent6"/>
                            <w:sz w:val="18"/>
                          </w:rPr>
                        </w:pPr>
                      </w:p>
                      <w:p w:rsidR="001B3D7F" w:rsidRPr="002D0ADD" w:rsidRDefault="001B3D7F" w:rsidP="00D80645">
                        <w:pPr>
                          <w:rPr>
                            <w:rFonts w:ascii="Arial" w:hAnsi="Arial" w:cs="Arial"/>
                            <w:b/>
                            <w:color w:val="F79646" w:themeColor="accent6"/>
                            <w:sz w:val="18"/>
                          </w:rPr>
                        </w:pPr>
                        <w:r w:rsidRPr="002D0ADD">
                          <w:rPr>
                            <w:rFonts w:ascii="Arial" w:hAnsi="Arial" w:cs="Arial"/>
                            <w:b/>
                            <w:color w:val="F79646" w:themeColor="accent6"/>
                            <w:sz w:val="18"/>
                          </w:rPr>
                          <w:t>3.Адекватність ресурсів</w:t>
                        </w:r>
                      </w:p>
                      <w:p w:rsidR="001B3D7F" w:rsidRPr="002D0ADD" w:rsidRDefault="001B3D7F" w:rsidP="00D80645">
                        <w:pPr>
                          <w:rPr>
                            <w:rFonts w:ascii="Arial" w:hAnsi="Arial" w:cs="Arial"/>
                            <w:b/>
                            <w:color w:val="F79646" w:themeColor="accent6"/>
                            <w:sz w:val="18"/>
                          </w:rPr>
                        </w:pPr>
                      </w:p>
                      <w:p w:rsidR="001B3D7F" w:rsidRPr="002D0ADD" w:rsidRDefault="001B3D7F" w:rsidP="00D80645">
                        <w:pPr>
                          <w:rPr>
                            <w:rFonts w:ascii="Arial" w:hAnsi="Arial" w:cs="Arial"/>
                            <w:b/>
                            <w:color w:val="F79646" w:themeColor="accent6"/>
                            <w:sz w:val="18"/>
                          </w:rPr>
                        </w:pPr>
                        <w:r w:rsidRPr="002D0ADD">
                          <w:rPr>
                            <w:rFonts w:ascii="Arial" w:hAnsi="Arial" w:cs="Arial"/>
                            <w:b/>
                            <w:color w:val="F79646" w:themeColor="accent6"/>
                            <w:sz w:val="18"/>
                          </w:rPr>
                          <w:t>4.Відданість якості</w:t>
                        </w:r>
                      </w:p>
                      <w:p w:rsidR="001B3D7F" w:rsidRPr="002D0ADD" w:rsidRDefault="001B3D7F" w:rsidP="00D80645">
                        <w:pPr>
                          <w:rPr>
                            <w:rFonts w:ascii="Arial" w:hAnsi="Arial" w:cs="Arial"/>
                            <w:b/>
                            <w:color w:val="F79646" w:themeColor="accent6"/>
                            <w:sz w:val="18"/>
                          </w:rPr>
                        </w:pPr>
                      </w:p>
                      <w:p w:rsidR="001B3D7F" w:rsidRPr="002D0ADD" w:rsidRDefault="001B3D7F" w:rsidP="00D80645">
                        <w:pPr>
                          <w:rPr>
                            <w:rFonts w:ascii="Arial" w:hAnsi="Arial" w:cs="Arial"/>
                            <w:b/>
                            <w:color w:val="F79646" w:themeColor="accent6"/>
                            <w:sz w:val="18"/>
                          </w:rPr>
                        </w:pPr>
                        <w:r w:rsidRPr="002D0ADD">
                          <w:rPr>
                            <w:rFonts w:ascii="Arial" w:hAnsi="Arial" w:cs="Arial"/>
                            <w:b/>
                            <w:color w:val="F79646" w:themeColor="accent6"/>
                            <w:sz w:val="18"/>
                          </w:rPr>
                          <w:t>5.Статистична конфіденційність</w:t>
                        </w:r>
                      </w:p>
                      <w:p w:rsidR="001B3D7F" w:rsidRPr="002D0ADD" w:rsidRDefault="001B3D7F" w:rsidP="00D80645">
                        <w:pPr>
                          <w:rPr>
                            <w:rFonts w:ascii="Arial" w:hAnsi="Arial" w:cs="Arial"/>
                            <w:b/>
                            <w:color w:val="F79646" w:themeColor="accent6"/>
                            <w:sz w:val="18"/>
                          </w:rPr>
                        </w:pPr>
                      </w:p>
                      <w:p w:rsidR="001B3D7F" w:rsidRPr="002D0ADD" w:rsidRDefault="001B3D7F" w:rsidP="00D80645">
                        <w:pPr>
                          <w:rPr>
                            <w:rFonts w:ascii="Arial" w:hAnsi="Arial" w:cs="Arial"/>
                            <w:b/>
                            <w:color w:val="F79646" w:themeColor="accent6"/>
                            <w:sz w:val="18"/>
                            <w:lang w:val="ru-RU"/>
                          </w:rPr>
                        </w:pPr>
                        <w:r>
                          <w:rPr>
                            <w:rFonts w:ascii="Arial" w:hAnsi="Arial" w:cs="Arial"/>
                            <w:b/>
                            <w:color w:val="F79646" w:themeColor="accent6"/>
                            <w:sz w:val="18"/>
                          </w:rPr>
                          <w:t>6.Н</w:t>
                        </w:r>
                        <w:r>
                          <w:rPr>
                            <w:rFonts w:ascii="Arial" w:hAnsi="Arial" w:cs="Arial"/>
                            <w:b/>
                            <w:color w:val="F79646" w:themeColor="accent6"/>
                            <w:sz w:val="18"/>
                            <w:lang w:val="ru-RU"/>
                          </w:rPr>
                          <w:t>е</w:t>
                        </w:r>
                        <w:r>
                          <w:rPr>
                            <w:rFonts w:ascii="Arial" w:hAnsi="Arial" w:cs="Arial"/>
                            <w:b/>
                            <w:color w:val="F79646" w:themeColor="accent6"/>
                            <w:sz w:val="18"/>
                          </w:rPr>
                          <w:t>упередженість</w:t>
                        </w:r>
                        <w:r>
                          <w:rPr>
                            <w:rFonts w:ascii="Arial" w:hAnsi="Arial" w:cs="Arial"/>
                            <w:b/>
                            <w:color w:val="F79646" w:themeColor="accent6"/>
                            <w:sz w:val="18"/>
                            <w:lang w:val="ru-RU"/>
                          </w:rPr>
                          <w:t xml:space="preserve"> </w:t>
                        </w:r>
                        <w:r w:rsidRPr="002D0ADD">
                          <w:rPr>
                            <w:rFonts w:ascii="Arial" w:hAnsi="Arial" w:cs="Arial"/>
                            <w:b/>
                            <w:color w:val="F79646" w:themeColor="accent6"/>
                            <w:sz w:val="18"/>
                          </w:rPr>
                          <w:t>та об’єктивність</w:t>
                        </w:r>
                      </w:p>
                      <w:p w:rsidR="001B3D7F" w:rsidRPr="002D0ADD" w:rsidRDefault="001B3D7F" w:rsidP="00D80645">
                        <w:pPr>
                          <w:pStyle w:val="aa"/>
                          <w:jc w:val="center"/>
                          <w:rPr>
                            <w:rFonts w:ascii="Arial" w:hAnsi="Arial" w:cs="Arial"/>
                            <w:sz w:val="18"/>
                            <w:lang w:val="ru-RU"/>
                          </w:rPr>
                        </w:pPr>
                      </w:p>
                      <w:p w:rsidR="001B3D7F" w:rsidRPr="002D0ADD" w:rsidRDefault="001B3D7F" w:rsidP="00D80645">
                        <w:pPr>
                          <w:jc w:val="center"/>
                          <w:rPr>
                            <w:rFonts w:ascii="Arial" w:hAnsi="Arial" w:cs="Arial"/>
                            <w:sz w:val="18"/>
                            <w:lang w:val="ru-RU"/>
                          </w:rPr>
                        </w:pPr>
                      </w:p>
                    </w:txbxContent>
                  </v:textbox>
                </v:roundrect>
                <v:roundrect id="AutoShape 4" o:spid="_x0000_s1028" style="position:absolute;left:9879;top:861;width:1966;height:60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Kp8MA&#10;AADaAAAADwAAAGRycy9kb3ducmV2LnhtbESPQWsCMRSE7wX/Q3iCt5pYaJHV7KJii3gptT3o7ZE8&#10;dxc3L8smavrvm0Khx2FmvmGWVXKduNEQWs8aZlMFgth423Kt4evz9XEOIkRki51n0vBNAapy9LDE&#10;wvo7f9DtEGuRIRwK1NDE2BdSBtOQwzD1PXH2zn5wGLMcamkHvGe46+STUi/SYct5ocGeNg2Zy+Hq&#10;NJj5fubVKe7V9d2bdHpLW3Vcaz0Zp9UCRKQU/8N/7Z3V8Ay/V/IN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gKp8MAAADaAAAADwAAAAAAAAAAAAAAAACYAgAAZHJzL2Rv&#10;d25yZXYueG1sUEsFBgAAAAAEAAQA9QAAAIgDAAAAAA==&#10;" fillcolor="#fde9d9 [665]" strokecolor="#f79646 [3209]">
                  <v:textbox>
                    <w:txbxContent>
                      <w:p w:rsidR="001B3D7F" w:rsidRPr="00221941" w:rsidRDefault="001B3D7F" w:rsidP="00D80645">
                        <w:pPr>
                          <w:jc w:val="center"/>
                          <w:rPr>
                            <w:sz w:val="28"/>
                          </w:rPr>
                        </w:pPr>
                        <w:r w:rsidRPr="00221941">
                          <w:rPr>
                            <w:sz w:val="28"/>
                          </w:rPr>
                          <w:t>7-10</w:t>
                        </w:r>
                      </w:p>
                      <w:p w:rsidR="001B3D7F" w:rsidRDefault="001B3D7F" w:rsidP="00D80645">
                        <w:pPr>
                          <w:jc w:val="center"/>
                          <w:rPr>
                            <w:sz w:val="28"/>
                          </w:rPr>
                        </w:pPr>
                        <w:r w:rsidRPr="00221941">
                          <w:rPr>
                            <w:sz w:val="28"/>
                          </w:rPr>
                          <w:t>Статистичні процеси</w:t>
                        </w:r>
                      </w:p>
                      <w:p w:rsidR="001B3D7F" w:rsidRDefault="001B3D7F" w:rsidP="00D80645">
                        <w:pPr>
                          <w:jc w:val="center"/>
                          <w:rPr>
                            <w:sz w:val="28"/>
                          </w:rPr>
                        </w:pPr>
                      </w:p>
                      <w:p w:rsidR="001B3D7F" w:rsidRPr="002D0ADD" w:rsidRDefault="001B3D7F" w:rsidP="00D80645">
                        <w:pPr>
                          <w:rPr>
                            <w:sz w:val="18"/>
                            <w:szCs w:val="18"/>
                          </w:rPr>
                        </w:pPr>
                      </w:p>
                      <w:p w:rsidR="001B3D7F" w:rsidRPr="002D0ADD" w:rsidRDefault="001B3D7F" w:rsidP="00D80645">
                        <w:pPr>
                          <w:rPr>
                            <w:rFonts w:ascii="Arial" w:hAnsi="Arial" w:cs="Arial"/>
                            <w:b/>
                            <w:color w:val="F79646" w:themeColor="accent6"/>
                            <w:sz w:val="18"/>
                            <w:szCs w:val="18"/>
                          </w:rPr>
                        </w:pPr>
                        <w:r w:rsidRPr="002D0ADD">
                          <w:rPr>
                            <w:rFonts w:ascii="Arial" w:hAnsi="Arial" w:cs="Arial"/>
                            <w:b/>
                            <w:color w:val="F79646" w:themeColor="accent6"/>
                            <w:sz w:val="18"/>
                            <w:szCs w:val="18"/>
                          </w:rPr>
                          <w:t xml:space="preserve">7. Надійна методологія </w:t>
                        </w:r>
                      </w:p>
                      <w:p w:rsidR="001B3D7F" w:rsidRPr="002D0ADD" w:rsidRDefault="001B3D7F" w:rsidP="00D80645">
                        <w:pPr>
                          <w:rPr>
                            <w:rFonts w:ascii="Arial" w:hAnsi="Arial" w:cs="Arial"/>
                            <w:b/>
                            <w:color w:val="F79646" w:themeColor="accent6"/>
                            <w:sz w:val="18"/>
                            <w:szCs w:val="18"/>
                          </w:rPr>
                        </w:pPr>
                      </w:p>
                      <w:p w:rsidR="001B3D7F" w:rsidRPr="002D0ADD" w:rsidRDefault="001B3D7F" w:rsidP="00D80645">
                        <w:pPr>
                          <w:rPr>
                            <w:rFonts w:ascii="Arial" w:hAnsi="Arial" w:cs="Arial"/>
                            <w:b/>
                            <w:color w:val="F79646" w:themeColor="accent6"/>
                            <w:sz w:val="18"/>
                            <w:szCs w:val="18"/>
                          </w:rPr>
                        </w:pPr>
                        <w:r w:rsidRPr="002D0ADD">
                          <w:rPr>
                            <w:rFonts w:ascii="Arial" w:hAnsi="Arial" w:cs="Arial"/>
                            <w:b/>
                            <w:color w:val="F79646" w:themeColor="accent6"/>
                            <w:sz w:val="18"/>
                            <w:szCs w:val="18"/>
                          </w:rPr>
                          <w:t>8. Належні статистичні процедури</w:t>
                        </w:r>
                      </w:p>
                      <w:p w:rsidR="001B3D7F" w:rsidRPr="002D0ADD" w:rsidRDefault="001B3D7F" w:rsidP="00D80645">
                        <w:pPr>
                          <w:rPr>
                            <w:rFonts w:ascii="Arial" w:hAnsi="Arial" w:cs="Arial"/>
                            <w:b/>
                            <w:color w:val="F79646" w:themeColor="accent6"/>
                            <w:sz w:val="18"/>
                            <w:szCs w:val="18"/>
                          </w:rPr>
                        </w:pPr>
                      </w:p>
                      <w:p w:rsidR="001B3D7F" w:rsidRPr="002D0ADD" w:rsidRDefault="001B3D7F" w:rsidP="00D80645">
                        <w:pPr>
                          <w:rPr>
                            <w:rFonts w:ascii="Arial" w:hAnsi="Arial" w:cs="Arial"/>
                            <w:b/>
                            <w:color w:val="F79646" w:themeColor="accent6"/>
                            <w:sz w:val="18"/>
                            <w:szCs w:val="18"/>
                          </w:rPr>
                        </w:pPr>
                        <w:r w:rsidRPr="002D0ADD">
                          <w:rPr>
                            <w:rFonts w:ascii="Arial" w:hAnsi="Arial" w:cs="Arial"/>
                            <w:b/>
                            <w:color w:val="F79646" w:themeColor="accent6"/>
                            <w:sz w:val="18"/>
                            <w:szCs w:val="18"/>
                          </w:rPr>
                          <w:t>9. Не надмірне навантаження на респондентів</w:t>
                        </w:r>
                      </w:p>
                      <w:p w:rsidR="001B3D7F" w:rsidRPr="002D0ADD" w:rsidRDefault="001B3D7F" w:rsidP="00D80645">
                        <w:pPr>
                          <w:rPr>
                            <w:rFonts w:ascii="Arial" w:hAnsi="Arial" w:cs="Arial"/>
                            <w:b/>
                            <w:color w:val="F79646" w:themeColor="accent6"/>
                            <w:sz w:val="18"/>
                            <w:szCs w:val="18"/>
                          </w:rPr>
                        </w:pPr>
                      </w:p>
                      <w:p w:rsidR="001B3D7F" w:rsidRPr="002D0ADD" w:rsidRDefault="001B3D7F" w:rsidP="00D80645">
                        <w:pPr>
                          <w:rPr>
                            <w:rFonts w:ascii="Arial" w:hAnsi="Arial" w:cs="Arial"/>
                            <w:b/>
                            <w:color w:val="F79646" w:themeColor="accent6"/>
                            <w:sz w:val="18"/>
                            <w:szCs w:val="18"/>
                            <w:lang w:val="uk-UA"/>
                          </w:rPr>
                        </w:pPr>
                        <w:r w:rsidRPr="002D0ADD">
                          <w:rPr>
                            <w:rFonts w:ascii="Arial" w:hAnsi="Arial" w:cs="Arial"/>
                            <w:b/>
                            <w:color w:val="F79646" w:themeColor="accent6"/>
                            <w:sz w:val="18"/>
                            <w:szCs w:val="18"/>
                          </w:rPr>
                          <w:t>10. Ефективна вартість</w:t>
                        </w:r>
                      </w:p>
                      <w:p w:rsidR="001B3D7F" w:rsidRPr="002D0ADD" w:rsidRDefault="001B3D7F" w:rsidP="00D80645">
                        <w:pPr>
                          <w:jc w:val="center"/>
                          <w:rPr>
                            <w:rFonts w:ascii="Arial" w:hAnsi="Arial" w:cs="Arial"/>
                            <w:sz w:val="18"/>
                            <w:szCs w:val="18"/>
                          </w:rPr>
                        </w:pPr>
                      </w:p>
                    </w:txbxContent>
                  </v:textbox>
                </v:roundrect>
                <v:roundrect id="AutoShape 5" o:spid="_x0000_s1029" style="position:absolute;left:11946;top:861;width:2192;height:60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U0MMA&#10;AADaAAAADwAAAGRycy9kb3ducmV2LnhtbESPT2sCMRTE7wW/Q3iF3mqiB5Gt2aUtKuKl+OdQb4/k&#10;dXfp5mXZRE2/fSMIHoeZ+Q2zqJLrxIWG0HrWMBkrEMTG25ZrDcfD6nUOIkRki51n0vBHAapy9LTA&#10;wvor7+iyj7XIEA4Famhi7Aspg2nIYRj7njh7P35wGLMcamkHvGa46+RUqZl02HJeaLCnz4bM7/7s&#10;NJj5duLVKW7V+cubdFqnpfr+0PrlOb2/gYiU4iN8b2+shhncru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qU0MMAAADaAAAADwAAAAAAAAAAAAAAAACYAgAAZHJzL2Rv&#10;d25yZXYueG1sUEsFBgAAAAAEAAQA9QAAAIgDAAAAAA==&#10;" fillcolor="#fde9d9 [665]" strokecolor="#f79646 [3209]">
                  <v:textbox>
                    <w:txbxContent>
                      <w:p w:rsidR="001B3D7F" w:rsidRPr="00221941" w:rsidRDefault="001B3D7F" w:rsidP="00D80645">
                        <w:pPr>
                          <w:jc w:val="center"/>
                          <w:rPr>
                            <w:sz w:val="28"/>
                          </w:rPr>
                        </w:pPr>
                        <w:r w:rsidRPr="00221941">
                          <w:rPr>
                            <w:sz w:val="28"/>
                          </w:rPr>
                          <w:t>11-15</w:t>
                        </w:r>
                      </w:p>
                      <w:p w:rsidR="001B3D7F" w:rsidRDefault="001B3D7F" w:rsidP="00D80645">
                        <w:pPr>
                          <w:jc w:val="center"/>
                          <w:rPr>
                            <w:sz w:val="28"/>
                          </w:rPr>
                        </w:pPr>
                        <w:r w:rsidRPr="00221941">
                          <w:rPr>
                            <w:sz w:val="28"/>
                          </w:rPr>
                          <w:t>Статистичний випуск</w:t>
                        </w:r>
                      </w:p>
                      <w:p w:rsidR="001B3D7F" w:rsidRDefault="001B3D7F" w:rsidP="00D80645">
                        <w:pPr>
                          <w:jc w:val="center"/>
                          <w:rPr>
                            <w:sz w:val="28"/>
                          </w:rPr>
                        </w:pPr>
                      </w:p>
                      <w:p w:rsidR="001B3D7F" w:rsidRPr="002D0ADD" w:rsidRDefault="001B3D7F" w:rsidP="00D80645">
                        <w:pPr>
                          <w:jc w:val="center"/>
                          <w:rPr>
                            <w:rFonts w:ascii="Arial" w:hAnsi="Arial" w:cs="Arial"/>
                            <w:b/>
                            <w:color w:val="F79646" w:themeColor="accent6"/>
                            <w:sz w:val="18"/>
                            <w:szCs w:val="18"/>
                            <w:lang w:val="en-US"/>
                          </w:rPr>
                        </w:pPr>
                      </w:p>
                      <w:p w:rsidR="001B3D7F" w:rsidRPr="002D0ADD" w:rsidRDefault="001B3D7F" w:rsidP="00D80645">
                        <w:pPr>
                          <w:rPr>
                            <w:rFonts w:ascii="Arial" w:hAnsi="Arial" w:cs="Arial"/>
                            <w:b/>
                            <w:color w:val="F79646" w:themeColor="accent6"/>
                            <w:sz w:val="18"/>
                            <w:szCs w:val="18"/>
                            <w:lang w:val="en-US"/>
                          </w:rPr>
                        </w:pPr>
                        <w:r w:rsidRPr="002D0ADD">
                          <w:rPr>
                            <w:rFonts w:ascii="Arial" w:hAnsi="Arial" w:cs="Arial"/>
                            <w:b/>
                            <w:color w:val="F79646" w:themeColor="accent6"/>
                            <w:sz w:val="18"/>
                            <w:szCs w:val="18"/>
                          </w:rPr>
                          <w:t>11. Релевантність</w:t>
                        </w:r>
                      </w:p>
                      <w:p w:rsidR="001B3D7F" w:rsidRPr="002D0ADD" w:rsidRDefault="001B3D7F" w:rsidP="00D80645">
                        <w:pPr>
                          <w:rPr>
                            <w:rFonts w:ascii="Arial" w:hAnsi="Arial" w:cs="Arial"/>
                            <w:b/>
                            <w:color w:val="F79646" w:themeColor="accent6"/>
                            <w:sz w:val="18"/>
                            <w:szCs w:val="18"/>
                            <w:lang w:val="en-US"/>
                          </w:rPr>
                        </w:pPr>
                      </w:p>
                      <w:p w:rsidR="001B3D7F" w:rsidRPr="002D0ADD" w:rsidRDefault="001B3D7F" w:rsidP="00D80645">
                        <w:pPr>
                          <w:rPr>
                            <w:rFonts w:ascii="Arial" w:hAnsi="Arial" w:cs="Arial"/>
                            <w:b/>
                            <w:color w:val="F79646" w:themeColor="accent6"/>
                            <w:sz w:val="18"/>
                            <w:szCs w:val="18"/>
                            <w:lang w:val="en-US"/>
                          </w:rPr>
                        </w:pPr>
                      </w:p>
                      <w:p w:rsidR="001B3D7F" w:rsidRPr="002D0ADD" w:rsidRDefault="001B3D7F" w:rsidP="00D80645">
                        <w:pPr>
                          <w:rPr>
                            <w:rFonts w:ascii="Arial" w:hAnsi="Arial" w:cs="Arial"/>
                            <w:b/>
                            <w:color w:val="F79646" w:themeColor="accent6"/>
                            <w:sz w:val="18"/>
                            <w:szCs w:val="18"/>
                            <w:lang w:val="en-US"/>
                          </w:rPr>
                        </w:pPr>
                        <w:r w:rsidRPr="002D0ADD">
                          <w:rPr>
                            <w:rFonts w:ascii="Arial" w:hAnsi="Arial" w:cs="Arial"/>
                            <w:b/>
                            <w:color w:val="F79646" w:themeColor="accent6"/>
                            <w:sz w:val="18"/>
                            <w:szCs w:val="18"/>
                          </w:rPr>
                          <w:t>12. Точність та надійність</w:t>
                        </w:r>
                      </w:p>
                      <w:p w:rsidR="001B3D7F" w:rsidRPr="002D0ADD" w:rsidRDefault="001B3D7F" w:rsidP="00D80645">
                        <w:pPr>
                          <w:rPr>
                            <w:rFonts w:ascii="Arial" w:hAnsi="Arial" w:cs="Arial"/>
                            <w:b/>
                            <w:color w:val="F79646" w:themeColor="accent6"/>
                            <w:sz w:val="18"/>
                            <w:szCs w:val="18"/>
                            <w:lang w:val="en-US"/>
                          </w:rPr>
                        </w:pPr>
                      </w:p>
                      <w:p w:rsidR="001B3D7F" w:rsidRPr="002D0ADD" w:rsidRDefault="001B3D7F" w:rsidP="00D80645">
                        <w:pPr>
                          <w:rPr>
                            <w:rFonts w:ascii="Arial" w:hAnsi="Arial" w:cs="Arial"/>
                            <w:b/>
                            <w:color w:val="F79646" w:themeColor="accent6"/>
                            <w:sz w:val="18"/>
                            <w:szCs w:val="18"/>
                            <w:lang w:val="en-US"/>
                          </w:rPr>
                        </w:pPr>
                        <w:r w:rsidRPr="002D0ADD">
                          <w:rPr>
                            <w:rFonts w:ascii="Arial" w:hAnsi="Arial" w:cs="Arial"/>
                            <w:b/>
                            <w:color w:val="F79646" w:themeColor="accent6"/>
                            <w:sz w:val="18"/>
                            <w:szCs w:val="18"/>
                          </w:rPr>
                          <w:t>13. Своєчасність та пунктуальність</w:t>
                        </w:r>
                      </w:p>
                      <w:p w:rsidR="001B3D7F" w:rsidRPr="002D0ADD" w:rsidRDefault="001B3D7F" w:rsidP="00D80645">
                        <w:pPr>
                          <w:rPr>
                            <w:rFonts w:ascii="Arial" w:hAnsi="Arial" w:cs="Arial"/>
                            <w:b/>
                            <w:color w:val="F79646" w:themeColor="accent6"/>
                            <w:sz w:val="18"/>
                            <w:szCs w:val="18"/>
                            <w:lang w:val="en-US"/>
                          </w:rPr>
                        </w:pPr>
                      </w:p>
                      <w:p w:rsidR="001B3D7F" w:rsidRPr="002D0ADD" w:rsidRDefault="001B3D7F" w:rsidP="00D80645">
                        <w:pPr>
                          <w:rPr>
                            <w:rFonts w:ascii="Arial" w:hAnsi="Arial" w:cs="Arial"/>
                            <w:b/>
                            <w:color w:val="F79646" w:themeColor="accent6"/>
                            <w:sz w:val="18"/>
                            <w:szCs w:val="18"/>
                            <w:lang w:val="en-US"/>
                          </w:rPr>
                        </w:pPr>
                        <w:r w:rsidRPr="002D0ADD">
                          <w:rPr>
                            <w:rFonts w:ascii="Arial" w:hAnsi="Arial" w:cs="Arial"/>
                            <w:b/>
                            <w:color w:val="F79646" w:themeColor="accent6"/>
                            <w:sz w:val="18"/>
                            <w:szCs w:val="18"/>
                          </w:rPr>
                          <w:t>14. Послідовність та співставність</w:t>
                        </w:r>
                      </w:p>
                      <w:p w:rsidR="001B3D7F" w:rsidRPr="002D0ADD" w:rsidRDefault="001B3D7F" w:rsidP="00D80645">
                        <w:pPr>
                          <w:rPr>
                            <w:rFonts w:ascii="Arial" w:hAnsi="Arial" w:cs="Arial"/>
                            <w:b/>
                            <w:color w:val="F79646" w:themeColor="accent6"/>
                            <w:sz w:val="18"/>
                            <w:szCs w:val="18"/>
                            <w:lang w:val="en-US"/>
                          </w:rPr>
                        </w:pPr>
                      </w:p>
                      <w:p w:rsidR="001B3D7F" w:rsidRPr="002D0ADD" w:rsidRDefault="001B3D7F" w:rsidP="00D80645">
                        <w:pPr>
                          <w:rPr>
                            <w:rFonts w:ascii="Arial" w:hAnsi="Arial" w:cs="Arial"/>
                            <w:b/>
                            <w:color w:val="F79646" w:themeColor="accent6"/>
                            <w:sz w:val="18"/>
                            <w:szCs w:val="18"/>
                          </w:rPr>
                        </w:pPr>
                        <w:r w:rsidRPr="002D0ADD">
                          <w:rPr>
                            <w:rFonts w:ascii="Arial" w:hAnsi="Arial" w:cs="Arial"/>
                            <w:b/>
                            <w:color w:val="F79646" w:themeColor="accent6"/>
                            <w:sz w:val="18"/>
                            <w:szCs w:val="18"/>
                          </w:rPr>
                          <w:t>15. Доступність та зрозумілість</w:t>
                        </w:r>
                      </w:p>
                      <w:p w:rsidR="001B3D7F" w:rsidRDefault="001B3D7F" w:rsidP="00D80645">
                        <w:pPr>
                          <w:jc w:val="center"/>
                          <w:rPr>
                            <w:sz w:val="28"/>
                          </w:rPr>
                        </w:pPr>
                      </w:p>
                      <w:p w:rsidR="001B3D7F" w:rsidRDefault="001B3D7F" w:rsidP="00D80645">
                        <w:pPr>
                          <w:jc w:val="center"/>
                          <w:rPr>
                            <w:sz w:val="28"/>
                          </w:rPr>
                        </w:pPr>
                      </w:p>
                      <w:p w:rsidR="001B3D7F" w:rsidRDefault="001B3D7F" w:rsidP="00D80645">
                        <w:pPr>
                          <w:jc w:val="center"/>
                          <w:rPr>
                            <w:sz w:val="28"/>
                          </w:rPr>
                        </w:pPr>
                      </w:p>
                      <w:p w:rsidR="001B3D7F" w:rsidRPr="00221941" w:rsidRDefault="001B3D7F" w:rsidP="00D80645">
                        <w:pPr>
                          <w:jc w:val="center"/>
                          <w:rPr>
                            <w:sz w:val="28"/>
                          </w:rPr>
                        </w:pPr>
                      </w:p>
                    </w:txbxContent>
                  </v:textbox>
                </v:roundrect>
              </v:group>
            </w:pict>
          </mc:Fallback>
        </mc:AlternateContent>
      </w:r>
    </w:p>
    <w:p w:rsidR="009F0C3F" w:rsidRPr="00D80645" w:rsidRDefault="009F0C3F" w:rsidP="009F0C3F">
      <w:pPr>
        <w:spacing w:before="120" w:after="120"/>
        <w:jc w:val="center"/>
        <w:rPr>
          <w:lang w:val="ru-RU"/>
        </w:rPr>
      </w:pPr>
    </w:p>
    <w:p w:rsidR="009F0C3F" w:rsidRPr="00D80645" w:rsidRDefault="009F0C3F" w:rsidP="00E80A59">
      <w:pPr>
        <w:spacing w:before="120" w:after="120"/>
        <w:jc w:val="both"/>
        <w:rPr>
          <w:lang w:val="ru-RU"/>
        </w:rPr>
      </w:pPr>
    </w:p>
    <w:p w:rsidR="00D80645" w:rsidRDefault="00D80645" w:rsidP="00E80A59">
      <w:pPr>
        <w:spacing w:before="120" w:after="120"/>
        <w:jc w:val="both"/>
        <w:rPr>
          <w:lang w:val="uk-UA"/>
        </w:rPr>
      </w:pPr>
    </w:p>
    <w:p w:rsidR="00D80645" w:rsidRDefault="00D80645" w:rsidP="00E80A59">
      <w:pPr>
        <w:spacing w:before="120" w:after="120"/>
        <w:jc w:val="both"/>
        <w:rPr>
          <w:lang w:val="uk-UA"/>
        </w:rPr>
      </w:pPr>
    </w:p>
    <w:p w:rsidR="00D80645" w:rsidRDefault="00D80645" w:rsidP="00E80A59">
      <w:pPr>
        <w:spacing w:before="120" w:after="120"/>
        <w:jc w:val="both"/>
        <w:rPr>
          <w:lang w:val="uk-UA"/>
        </w:rPr>
      </w:pPr>
    </w:p>
    <w:p w:rsidR="00D80645" w:rsidRDefault="00D80645" w:rsidP="00E80A59">
      <w:pPr>
        <w:spacing w:before="120" w:after="120"/>
        <w:jc w:val="both"/>
        <w:rPr>
          <w:lang w:val="uk-UA"/>
        </w:rPr>
      </w:pPr>
    </w:p>
    <w:p w:rsidR="00D80645" w:rsidRDefault="00D80645" w:rsidP="00E80A59">
      <w:pPr>
        <w:spacing w:before="120" w:after="120"/>
        <w:jc w:val="both"/>
        <w:rPr>
          <w:lang w:val="uk-UA"/>
        </w:rPr>
      </w:pPr>
    </w:p>
    <w:p w:rsidR="00D80645" w:rsidRDefault="00D80645" w:rsidP="00E80A59">
      <w:pPr>
        <w:spacing w:before="120" w:after="120"/>
        <w:jc w:val="both"/>
        <w:rPr>
          <w:lang w:val="uk-UA"/>
        </w:rPr>
      </w:pPr>
    </w:p>
    <w:p w:rsidR="00D80645" w:rsidRDefault="00D80645" w:rsidP="00E80A59">
      <w:pPr>
        <w:spacing w:before="120" w:after="120"/>
        <w:jc w:val="both"/>
        <w:rPr>
          <w:lang w:val="uk-UA"/>
        </w:rPr>
      </w:pPr>
    </w:p>
    <w:p w:rsidR="00D80645" w:rsidRDefault="00D80645" w:rsidP="00E80A59">
      <w:pPr>
        <w:spacing w:before="120" w:after="120"/>
        <w:jc w:val="both"/>
        <w:rPr>
          <w:lang w:val="uk-UA"/>
        </w:rPr>
      </w:pPr>
    </w:p>
    <w:p w:rsidR="00D80645" w:rsidRDefault="00D80645" w:rsidP="00E80A59">
      <w:pPr>
        <w:spacing w:before="120" w:after="120"/>
        <w:jc w:val="both"/>
        <w:rPr>
          <w:lang w:val="uk-UA"/>
        </w:rPr>
      </w:pPr>
    </w:p>
    <w:p w:rsidR="00D80645" w:rsidRDefault="00D80645" w:rsidP="00E80A59">
      <w:pPr>
        <w:spacing w:before="120" w:after="120"/>
        <w:jc w:val="both"/>
        <w:rPr>
          <w:lang w:val="uk-UA"/>
        </w:rPr>
      </w:pPr>
    </w:p>
    <w:p w:rsidR="00D80645" w:rsidRDefault="00D80645" w:rsidP="00E80A59">
      <w:pPr>
        <w:spacing w:before="120" w:after="120"/>
        <w:jc w:val="both"/>
        <w:rPr>
          <w:lang w:val="uk-UA"/>
        </w:rPr>
      </w:pPr>
    </w:p>
    <w:p w:rsidR="00D80645" w:rsidRDefault="00D80645" w:rsidP="00E80A59">
      <w:pPr>
        <w:spacing w:before="120" w:after="120"/>
        <w:jc w:val="both"/>
        <w:rPr>
          <w:lang w:val="uk-UA"/>
        </w:rPr>
      </w:pPr>
    </w:p>
    <w:p w:rsidR="00D80645" w:rsidRDefault="00D80645" w:rsidP="00E80A59">
      <w:pPr>
        <w:spacing w:before="120" w:after="120"/>
        <w:jc w:val="both"/>
        <w:rPr>
          <w:lang w:val="uk-UA"/>
        </w:rPr>
      </w:pPr>
    </w:p>
    <w:p w:rsidR="009C0979" w:rsidRDefault="009C0979" w:rsidP="00E80A59">
      <w:pPr>
        <w:spacing w:before="120" w:after="120"/>
        <w:jc w:val="both"/>
        <w:rPr>
          <w:lang w:val="uk-UA"/>
        </w:rPr>
      </w:pPr>
      <w:r>
        <w:rPr>
          <w:lang w:val="uk-UA"/>
        </w:rPr>
        <w:t xml:space="preserve">Такі правила, як ті, що лежать в основі ЄСС, можна доповнити контрольним списком обов’язкових та/або бажаних характеристик ІСЦ. Контрольний список також можна використовувати як внесок у правила </w:t>
      </w:r>
      <w:r w:rsidR="005E1C4F">
        <w:rPr>
          <w:lang w:val="uk-UA"/>
        </w:rPr>
        <w:t xml:space="preserve">щодо </w:t>
      </w:r>
      <w:r>
        <w:rPr>
          <w:lang w:val="uk-UA"/>
        </w:rPr>
        <w:t xml:space="preserve">метаданих. Їх слід вважати </w:t>
      </w:r>
      <w:r w:rsidR="005E1C4F">
        <w:rPr>
          <w:lang w:val="uk-UA"/>
        </w:rPr>
        <w:t>доповнюючими</w:t>
      </w:r>
      <w:r>
        <w:rPr>
          <w:lang w:val="uk-UA"/>
        </w:rPr>
        <w:t xml:space="preserve">. Контрольний список було складено під час місії, він має допомогти у створенні звіту з якості. </w:t>
      </w:r>
    </w:p>
    <w:p w:rsidR="009C0979" w:rsidRDefault="009C0979" w:rsidP="00E80A59">
      <w:pPr>
        <w:spacing w:before="120" w:after="120"/>
        <w:jc w:val="both"/>
        <w:rPr>
          <w:lang w:val="uk-UA"/>
        </w:rPr>
      </w:pPr>
      <w:r>
        <w:rPr>
          <w:lang w:val="uk-UA"/>
        </w:rPr>
        <w:t>Контрольний список також може стати в нагоді для внутрішніх цілей.</w:t>
      </w:r>
    </w:p>
    <w:p w:rsidR="009C0979" w:rsidRPr="009C0979" w:rsidRDefault="009C0979" w:rsidP="00E80A59">
      <w:pPr>
        <w:pStyle w:val="aa"/>
        <w:numPr>
          <w:ilvl w:val="0"/>
          <w:numId w:val="24"/>
        </w:numPr>
        <w:spacing w:before="120" w:after="120"/>
        <w:jc w:val="both"/>
        <w:rPr>
          <w:lang w:val="ru-RU"/>
        </w:rPr>
      </w:pPr>
      <w:r>
        <w:rPr>
          <w:lang w:val="uk-UA"/>
        </w:rPr>
        <w:t xml:space="preserve">Він може бути більш конкретним, ніж документ, призначений для публічного розповсюдження. </w:t>
      </w:r>
    </w:p>
    <w:p w:rsidR="009C0979" w:rsidRPr="009C0979" w:rsidRDefault="009C0979" w:rsidP="00E80A59">
      <w:pPr>
        <w:pStyle w:val="aa"/>
        <w:numPr>
          <w:ilvl w:val="0"/>
          <w:numId w:val="24"/>
        </w:numPr>
        <w:spacing w:before="120" w:after="120"/>
        <w:jc w:val="both"/>
        <w:rPr>
          <w:lang w:val="ru-RU"/>
        </w:rPr>
      </w:pPr>
      <w:r>
        <w:rPr>
          <w:lang w:val="uk-UA"/>
        </w:rPr>
        <w:t xml:space="preserve">Він може бути частиною більш детального оцінювання та відповідної програми розвитку для робочого використання.  </w:t>
      </w:r>
    </w:p>
    <w:p w:rsidR="009C0979" w:rsidRDefault="009C0979" w:rsidP="00E80A59">
      <w:pPr>
        <w:spacing w:before="120" w:after="120"/>
        <w:jc w:val="both"/>
        <w:rPr>
          <w:lang w:val="uk-UA"/>
        </w:rPr>
      </w:pPr>
      <w:r>
        <w:rPr>
          <w:lang w:val="uk-UA"/>
        </w:rPr>
        <w:t>Звіти з якості та контрольні списки повин</w:t>
      </w:r>
      <w:r w:rsidR="005E1C4F">
        <w:rPr>
          <w:lang w:val="uk-UA"/>
        </w:rPr>
        <w:t>ні бути повністю інтегрованими в</w:t>
      </w:r>
      <w:r>
        <w:rPr>
          <w:lang w:val="uk-UA"/>
        </w:rPr>
        <w:t xml:space="preserve"> механізми планування для відповідних програм статистичних робіт ІСЦ. </w:t>
      </w:r>
    </w:p>
    <w:p w:rsidR="009C0979" w:rsidRDefault="009C0979" w:rsidP="00E80A59">
      <w:pPr>
        <w:spacing w:before="120" w:after="120"/>
        <w:jc w:val="both"/>
        <w:rPr>
          <w:lang w:val="uk-UA"/>
        </w:rPr>
      </w:pPr>
      <w:r>
        <w:rPr>
          <w:lang w:val="uk-UA"/>
        </w:rPr>
        <w:t>Загальні принципи, що лежать в основі складання звітів з якості щодо ІСЦ, наступні:</w:t>
      </w:r>
    </w:p>
    <w:p w:rsidR="009C0979" w:rsidRPr="009C0979" w:rsidRDefault="005E1C4F" w:rsidP="00E80A59">
      <w:pPr>
        <w:pStyle w:val="aa"/>
        <w:numPr>
          <w:ilvl w:val="0"/>
          <w:numId w:val="23"/>
        </w:numPr>
        <w:spacing w:before="120" w:after="120"/>
        <w:jc w:val="both"/>
        <w:rPr>
          <w:lang w:val="ru-RU"/>
        </w:rPr>
      </w:pPr>
      <w:r>
        <w:rPr>
          <w:lang w:val="uk-UA"/>
        </w:rPr>
        <w:t xml:space="preserve">До звітів має бути легкий доступ і вони мають бути прості у використанні </w:t>
      </w:r>
      <w:r w:rsidR="009C0979">
        <w:rPr>
          <w:lang w:val="uk-UA"/>
        </w:rPr>
        <w:t xml:space="preserve">для всіх зацікавлених сторін. </w:t>
      </w:r>
    </w:p>
    <w:p w:rsidR="009C0979" w:rsidRPr="009C0979" w:rsidRDefault="009C0979" w:rsidP="00E80A59">
      <w:pPr>
        <w:pStyle w:val="aa"/>
        <w:numPr>
          <w:ilvl w:val="0"/>
          <w:numId w:val="23"/>
        </w:numPr>
        <w:spacing w:before="120" w:after="120"/>
        <w:jc w:val="both"/>
        <w:rPr>
          <w:lang w:val="ru-RU"/>
        </w:rPr>
      </w:pPr>
      <w:r>
        <w:rPr>
          <w:lang w:val="uk-UA"/>
        </w:rPr>
        <w:t xml:space="preserve">Зміст повинен бути достатньо деталізованим для того, щоб дозволити укладачам і користувачам оцінити відповідність певним цілям. </w:t>
      </w:r>
    </w:p>
    <w:p w:rsidR="00DA204C" w:rsidRDefault="00DA204C" w:rsidP="00E80A59">
      <w:pPr>
        <w:spacing w:before="120" w:after="120"/>
        <w:jc w:val="both"/>
        <w:rPr>
          <w:lang w:val="uk-UA"/>
        </w:rPr>
      </w:pPr>
      <w:r>
        <w:rPr>
          <w:lang w:val="uk-UA"/>
        </w:rPr>
        <w:t xml:space="preserve">Заходи з якості та детальна технічна інформація повинні супроводжуватися поясненням щодо інтерпретації для того, щоб допомогти укладачам та користувачам оцінити відповідність </w:t>
      </w:r>
      <w:r w:rsidR="005E1C4F">
        <w:rPr>
          <w:lang w:val="uk-UA"/>
        </w:rPr>
        <w:t>меті</w:t>
      </w:r>
      <w:r>
        <w:rPr>
          <w:lang w:val="uk-UA"/>
        </w:rPr>
        <w:t xml:space="preserve">. Повинні надаватися чіткі твердження щодо ступеню відповідності узгодженим визначенням, методам та практики. Презентація інформації з якості повинна підходити під потреби різних користувачів </w:t>
      </w:r>
      <w:r w:rsidR="00001988">
        <w:rPr>
          <w:lang w:val="uk-UA"/>
        </w:rPr>
        <w:t>–</w:t>
      </w:r>
      <w:r>
        <w:rPr>
          <w:lang w:val="uk-UA"/>
        </w:rPr>
        <w:t xml:space="preserve"> </w:t>
      </w:r>
      <w:r w:rsidR="00EA3475">
        <w:rPr>
          <w:lang w:val="uk-UA"/>
        </w:rPr>
        <w:t>всеохоплююча</w:t>
      </w:r>
      <w:r w:rsidR="00001988">
        <w:rPr>
          <w:lang w:val="uk-UA"/>
        </w:rPr>
        <w:t xml:space="preserve"> інформація для експертів. Виробники повинні регулярно переглядати документацію щодо ІСЦ (та ІЦЖ) та оновлювати її для відображення останніх методів та процесів. </w:t>
      </w:r>
    </w:p>
    <w:p w:rsidR="00E80A59" w:rsidRPr="00346212" w:rsidRDefault="00001988" w:rsidP="00E80A59">
      <w:pPr>
        <w:spacing w:before="120" w:after="120"/>
        <w:jc w:val="both"/>
        <w:rPr>
          <w:lang w:val="uk-UA"/>
        </w:rPr>
      </w:pPr>
      <w:r>
        <w:rPr>
          <w:lang w:val="uk-UA"/>
        </w:rPr>
        <w:t xml:space="preserve">Контрольний список для Індексу споживчих цін наведено в додатку ???. Він надає основу </w:t>
      </w:r>
      <w:r w:rsidR="005E1C4F">
        <w:rPr>
          <w:lang w:val="uk-UA"/>
        </w:rPr>
        <w:t xml:space="preserve">для </w:t>
      </w:r>
      <w:r>
        <w:rPr>
          <w:lang w:val="uk-UA"/>
        </w:rPr>
        <w:t xml:space="preserve">метаданих для звіту з якості. </w:t>
      </w:r>
    </w:p>
    <w:p w:rsidR="00EA3475" w:rsidRDefault="00EA3475" w:rsidP="00E80A59">
      <w:pPr>
        <w:spacing w:before="120" w:after="120"/>
        <w:jc w:val="both"/>
        <w:rPr>
          <w:lang w:val="uk-UA"/>
        </w:rPr>
      </w:pPr>
      <w:r>
        <w:rPr>
          <w:lang w:val="uk-UA"/>
        </w:rPr>
        <w:t>Контрольний список не відображає глибоке дослідження Індексу споживчих цін – це забрало б набагато більше часу, ніж є</w:t>
      </w:r>
      <w:r w:rsidR="005E1C4F">
        <w:rPr>
          <w:lang w:val="uk-UA"/>
        </w:rPr>
        <w:t xml:space="preserve"> в наявності</w:t>
      </w:r>
      <w:r>
        <w:rPr>
          <w:lang w:val="uk-UA"/>
        </w:rPr>
        <w:t xml:space="preserve">, але він надає визначення основних сильних сторін ІСЦ та статистичних процесів, що його підтримують. </w:t>
      </w:r>
    </w:p>
    <w:p w:rsidR="00EA3475" w:rsidRDefault="00EA3475" w:rsidP="00C22438">
      <w:pPr>
        <w:spacing w:before="120" w:after="120"/>
        <w:jc w:val="both"/>
        <w:rPr>
          <w:lang w:val="uk-UA"/>
        </w:rPr>
      </w:pPr>
      <w:r>
        <w:rPr>
          <w:lang w:val="uk-UA"/>
        </w:rPr>
        <w:t xml:space="preserve">Попередніми висновками є те, що ІСЦ має загалом достатню якість і близько відповідає багатьом з відповідних міжнародних стандартів та визнаним добрим практикам у побудові індексу. Але було визначено певні питання, які, на думку консультанта, було б бажано вирішити. Занепокоєння, висловлене в цьому Звіті, </w:t>
      </w:r>
      <w:r w:rsidR="005E1C4F">
        <w:rPr>
          <w:lang w:val="uk-UA"/>
        </w:rPr>
        <w:t>частково стосується незакінчених справ</w:t>
      </w:r>
      <w:r>
        <w:rPr>
          <w:lang w:val="uk-UA"/>
        </w:rPr>
        <w:t xml:space="preserve"> та спадк</w:t>
      </w:r>
      <w:r w:rsidR="005E1C4F">
        <w:rPr>
          <w:lang w:val="uk-UA"/>
        </w:rPr>
        <w:t>у,</w:t>
      </w:r>
      <w:r>
        <w:rPr>
          <w:lang w:val="uk-UA"/>
        </w:rPr>
        <w:t xml:space="preserve"> пов’язаним із еволюцією нинішніх процесів виробництва та історії ІСЦ і частково </w:t>
      </w:r>
      <w:r w:rsidR="00A04E0D">
        <w:rPr>
          <w:lang w:val="uk-UA"/>
        </w:rPr>
        <w:t>з тиском через ресурси</w:t>
      </w:r>
      <w:r>
        <w:rPr>
          <w:lang w:val="uk-UA"/>
        </w:rPr>
        <w:t>.</w:t>
      </w:r>
      <w:r w:rsidR="00A04E0D">
        <w:rPr>
          <w:lang w:val="uk-UA"/>
        </w:rPr>
        <w:t xml:space="preserve"> Озвучені питання повинні сформувати основу для ма</w:t>
      </w:r>
      <w:r w:rsidR="005E1C4F">
        <w:rPr>
          <w:lang w:val="uk-UA"/>
        </w:rPr>
        <w:t>йбутньої програми виробництва та</w:t>
      </w:r>
      <w:r w:rsidR="00A04E0D">
        <w:rPr>
          <w:lang w:val="uk-UA"/>
        </w:rPr>
        <w:t xml:space="preserve"> методологічного розвитку</w:t>
      </w:r>
      <w:r w:rsidR="002F1DAE">
        <w:rPr>
          <w:lang w:val="uk-UA"/>
        </w:rPr>
        <w:t>, а деталізовані описи</w:t>
      </w:r>
      <w:r w:rsidR="00A04E0D">
        <w:rPr>
          <w:lang w:val="uk-UA"/>
        </w:rPr>
        <w:t xml:space="preserve"> певн</w:t>
      </w:r>
      <w:r w:rsidR="005E1C4F">
        <w:rPr>
          <w:lang w:val="uk-UA"/>
        </w:rPr>
        <w:t xml:space="preserve">их аспектів розрахунків ІСЦ </w:t>
      </w:r>
      <w:r w:rsidR="00A04E0D">
        <w:rPr>
          <w:lang w:val="uk-UA"/>
        </w:rPr>
        <w:t xml:space="preserve">мають скласти деякі з головних елементів звіту з якості. </w:t>
      </w:r>
    </w:p>
    <w:p w:rsidR="00C22438" w:rsidRPr="00346212" w:rsidRDefault="00A04E0D" w:rsidP="00C22438">
      <w:pPr>
        <w:spacing w:before="120" w:after="120"/>
        <w:jc w:val="both"/>
        <w:rPr>
          <w:lang w:val="ru-RU"/>
        </w:rPr>
      </w:pPr>
      <w:r>
        <w:rPr>
          <w:lang w:val="uk-UA"/>
        </w:rPr>
        <w:t>Нижче наведено</w:t>
      </w:r>
      <w:r w:rsidRPr="00A04E0D">
        <w:rPr>
          <w:lang w:val="uk-UA"/>
        </w:rPr>
        <w:t xml:space="preserve"> </w:t>
      </w:r>
      <w:r w:rsidRPr="00A04E0D">
        <w:rPr>
          <w:u w:val="single"/>
          <w:lang w:val="uk-UA"/>
        </w:rPr>
        <w:t>головні</w:t>
      </w:r>
      <w:r>
        <w:rPr>
          <w:lang w:val="uk-UA"/>
        </w:rPr>
        <w:t xml:space="preserve"> визначені питання та рекомендації. </w:t>
      </w:r>
    </w:p>
    <w:p w:rsidR="00A04E0D" w:rsidRPr="00A04E0D" w:rsidRDefault="00A04E0D" w:rsidP="0088229E">
      <w:pPr>
        <w:numPr>
          <w:ilvl w:val="0"/>
          <w:numId w:val="28"/>
        </w:numPr>
        <w:spacing w:before="120" w:after="120"/>
        <w:jc w:val="both"/>
        <w:rPr>
          <w:lang w:val="uk-UA"/>
        </w:rPr>
      </w:pPr>
      <w:r>
        <w:rPr>
          <w:lang w:val="uk-UA" w:eastAsia="en-GB"/>
        </w:rPr>
        <w:t xml:space="preserve">Державна служба статистики України (ДССУ) повинна прагнути </w:t>
      </w:r>
      <w:r w:rsidR="004863F5">
        <w:rPr>
          <w:lang w:val="uk-UA" w:eastAsia="en-GB"/>
        </w:rPr>
        <w:t>прийняти «внутрішню концепцію</w:t>
      </w:r>
      <w:r>
        <w:rPr>
          <w:lang w:val="uk-UA" w:eastAsia="en-GB"/>
        </w:rPr>
        <w:t>». Це концепція, що використовується багатьма НСС для багатоцільового індексу, включаючи ГІСЦ Євростату та є найбл</w:t>
      </w:r>
      <w:r w:rsidR="004863F5">
        <w:rPr>
          <w:lang w:val="uk-UA" w:eastAsia="en-GB"/>
        </w:rPr>
        <w:t>ижчою</w:t>
      </w:r>
      <w:r>
        <w:rPr>
          <w:lang w:val="uk-UA" w:eastAsia="en-GB"/>
        </w:rPr>
        <w:t xml:space="preserve"> до концепцій Національних рахунків. ДССУ планує перейти на концепції націон</w:t>
      </w:r>
      <w:r w:rsidR="004863F5">
        <w:rPr>
          <w:lang w:val="uk-UA" w:eastAsia="en-GB"/>
        </w:rPr>
        <w:t>альних рахунків з ІСЦ у 2017 році</w:t>
      </w:r>
      <w:r>
        <w:rPr>
          <w:lang w:val="uk-UA" w:eastAsia="en-GB"/>
        </w:rPr>
        <w:t>. Внутрішня концепція означає, що ІСЦ повинен охоплювати всі особисті остаточні грошові спожив</w:t>
      </w:r>
      <w:r w:rsidR="004863F5">
        <w:rPr>
          <w:lang w:val="uk-UA" w:eastAsia="en-GB"/>
        </w:rPr>
        <w:t>чі</w:t>
      </w:r>
      <w:r>
        <w:rPr>
          <w:lang w:val="uk-UA" w:eastAsia="en-GB"/>
        </w:rPr>
        <w:t xml:space="preserve"> витрати домогосподарств, здійснені на внутрішній території країни, включаючи неділові витрати, здійснені іноземними відвідувачами. Це доречно, коли ІСЦ використовується для аналізу національної інфляції </w:t>
      </w:r>
      <w:r w:rsidRPr="00A645F3">
        <w:rPr>
          <w:lang w:val="uk-UA" w:eastAsia="en-GB"/>
        </w:rPr>
        <w:t xml:space="preserve">та </w:t>
      </w:r>
      <w:r w:rsidR="004863F5" w:rsidRPr="00A645F3">
        <w:rPr>
          <w:lang w:val="uk-UA" w:eastAsia="en-GB"/>
        </w:rPr>
        <w:t>інфляційного таргетування</w:t>
      </w:r>
      <w:r w:rsidRPr="00A645F3">
        <w:rPr>
          <w:lang w:val="uk-UA" w:eastAsia="en-GB"/>
        </w:rPr>
        <w:t>. Багато країн проводять обстеження витрат іноземних відвідувачів</w:t>
      </w:r>
      <w:r>
        <w:rPr>
          <w:lang w:val="uk-UA" w:eastAsia="en-GB"/>
        </w:rPr>
        <w:t>, наприклад,</w:t>
      </w:r>
      <w:r w:rsidR="004863F5">
        <w:rPr>
          <w:lang w:val="uk-UA" w:eastAsia="en-GB"/>
        </w:rPr>
        <w:t xml:space="preserve"> шляхом о</w:t>
      </w:r>
      <w:r>
        <w:rPr>
          <w:lang w:val="uk-UA" w:eastAsia="en-GB"/>
        </w:rPr>
        <w:t xml:space="preserve">питування міжнародних пасажирів, що проводиться в найбільших пунктах перетину кордону та аеропортах. «Внутрішнє охоплення» виключає особисті витрати українських громадян за кордоном. </w:t>
      </w:r>
    </w:p>
    <w:p w:rsidR="003B6FBF" w:rsidRPr="003B6FBF" w:rsidRDefault="003B6FBF" w:rsidP="0088229E">
      <w:pPr>
        <w:numPr>
          <w:ilvl w:val="0"/>
          <w:numId w:val="28"/>
        </w:numPr>
        <w:spacing w:before="120" w:after="120"/>
        <w:jc w:val="both"/>
        <w:rPr>
          <w:lang w:val="uk-UA"/>
        </w:rPr>
      </w:pPr>
      <w:r>
        <w:rPr>
          <w:lang w:val="uk-UA" w:eastAsia="en-GB"/>
        </w:rPr>
        <w:t>ДССУ (1) досліджу</w:t>
      </w:r>
      <w:r w:rsidR="004863F5">
        <w:rPr>
          <w:lang w:val="uk-UA" w:eastAsia="en-GB"/>
        </w:rPr>
        <w:t>є вплив виключення закладів закритого типу</w:t>
      </w:r>
      <w:r>
        <w:rPr>
          <w:lang w:val="uk-UA" w:eastAsia="en-GB"/>
        </w:rPr>
        <w:t>, враховуючи їхнє послідуюче включення в індекс (2) в залежності до питань, які піднімаються щодо використання ІСЦ для різних цілей, враховує ускладнення прийняття «внутрішньої концепції</w:t>
      </w:r>
      <w:r w:rsidR="004863F5">
        <w:rPr>
          <w:lang w:val="uk-UA" w:eastAsia="en-GB"/>
        </w:rPr>
        <w:t>»</w:t>
      </w:r>
      <w:r>
        <w:rPr>
          <w:lang w:val="uk-UA" w:eastAsia="en-GB"/>
        </w:rPr>
        <w:t xml:space="preserve"> як </w:t>
      </w:r>
      <w:r w:rsidR="004863F5">
        <w:rPr>
          <w:lang w:val="uk-UA" w:eastAsia="en-GB"/>
        </w:rPr>
        <w:t xml:space="preserve">вказано </w:t>
      </w:r>
      <w:r>
        <w:rPr>
          <w:lang w:val="uk-UA" w:eastAsia="en-GB"/>
        </w:rPr>
        <w:t xml:space="preserve">(1) вище, включаючи включення витрат іноземних туристів в Україні та виключення туристичних витрат українців за кордоном (3) в залежності від (2) розрахунків відповідних вагів та ребалансуванню вибірки товарів та послуг, для яких реєструється ціна, </w:t>
      </w:r>
      <w:r w:rsidR="00AF3E11">
        <w:rPr>
          <w:lang w:val="uk-UA" w:eastAsia="en-GB"/>
        </w:rPr>
        <w:t>щоб індекс належним чином відображав туристичні витрати, наприклад, включення туристичних готелів, ресторанів та інших послуг. Звичайно, якщо асоційовані витрати є незначними і не в</w:t>
      </w:r>
      <w:r w:rsidR="004863F5">
        <w:rPr>
          <w:lang w:val="uk-UA" w:eastAsia="en-GB"/>
        </w:rPr>
        <w:t>п</w:t>
      </w:r>
      <w:r w:rsidR="00AF3E11">
        <w:rPr>
          <w:lang w:val="uk-UA" w:eastAsia="en-GB"/>
        </w:rPr>
        <w:t xml:space="preserve">ливають на </w:t>
      </w:r>
      <w:r w:rsidR="004863F5">
        <w:rPr>
          <w:lang w:val="uk-UA" w:eastAsia="en-GB"/>
        </w:rPr>
        <w:t>вимірювану інфляцію, тоді їх мож</w:t>
      </w:r>
      <w:r w:rsidR="00AF3E11">
        <w:rPr>
          <w:lang w:val="uk-UA" w:eastAsia="en-GB"/>
        </w:rPr>
        <w:t xml:space="preserve">на ігнорувати, принаймні наразі. </w:t>
      </w:r>
    </w:p>
    <w:p w:rsidR="00AF3E11" w:rsidRPr="00AF3E11" w:rsidRDefault="00AF3E11" w:rsidP="007234D4">
      <w:pPr>
        <w:numPr>
          <w:ilvl w:val="0"/>
          <w:numId w:val="28"/>
        </w:numPr>
        <w:spacing w:before="120" w:after="120"/>
        <w:jc w:val="both"/>
        <w:rPr>
          <w:lang w:val="uk-UA"/>
        </w:rPr>
      </w:pPr>
      <w:r>
        <w:rPr>
          <w:lang w:val="uk-UA"/>
        </w:rPr>
        <w:t>Потрібно прийняти рішення щодо того, чи переходить національний ІСЦ на концепції національних рахунків, що лежить в основі ГІСЦ, тобто чи ДССУ замінює національний індекс на ІСЦ або чи ДССУ залишає «сім</w:t>
      </w:r>
      <w:r w:rsidRPr="00AF3E11">
        <w:rPr>
          <w:lang w:val="uk-UA"/>
        </w:rPr>
        <w:t>’ю</w:t>
      </w:r>
      <w:r>
        <w:rPr>
          <w:lang w:val="uk-UA"/>
        </w:rPr>
        <w:t xml:space="preserve"> індексів». </w:t>
      </w:r>
    </w:p>
    <w:p w:rsidR="002838F8" w:rsidRPr="0067431C" w:rsidRDefault="002838F8" w:rsidP="007234D4">
      <w:pPr>
        <w:numPr>
          <w:ilvl w:val="0"/>
          <w:numId w:val="28"/>
        </w:numPr>
        <w:spacing w:before="120" w:after="120"/>
        <w:jc w:val="both"/>
        <w:rPr>
          <w:lang w:val="uk-UA"/>
        </w:rPr>
      </w:pPr>
      <w:r>
        <w:rPr>
          <w:lang w:val="uk-UA" w:eastAsia="en-GB"/>
        </w:rPr>
        <w:t xml:space="preserve">Виключення </w:t>
      </w:r>
      <w:r w:rsidR="00957106">
        <w:rPr>
          <w:lang w:val="uk-UA" w:eastAsia="en-GB"/>
        </w:rPr>
        <w:t xml:space="preserve">вартості </w:t>
      </w:r>
      <w:r w:rsidR="00957106" w:rsidRPr="00A645F3">
        <w:rPr>
          <w:lang w:val="uk-UA" w:eastAsia="en-GB"/>
        </w:rPr>
        <w:t xml:space="preserve">житла, що займає власник, </w:t>
      </w:r>
      <w:r w:rsidR="0067431C" w:rsidRPr="00A645F3">
        <w:rPr>
          <w:lang w:val="uk-UA" w:eastAsia="en-GB"/>
        </w:rPr>
        <w:t>є</w:t>
      </w:r>
      <w:r w:rsidR="0067431C">
        <w:rPr>
          <w:lang w:val="uk-UA" w:eastAsia="en-GB"/>
        </w:rPr>
        <w:t xml:space="preserve"> суттєвим опущенням і не може бути вирішеним допоки </w:t>
      </w:r>
      <w:r w:rsidR="00FE5118">
        <w:rPr>
          <w:lang w:val="uk-UA" w:eastAsia="en-GB"/>
        </w:rPr>
        <w:t xml:space="preserve">не </w:t>
      </w:r>
      <w:r w:rsidR="0067431C">
        <w:rPr>
          <w:lang w:val="uk-UA" w:eastAsia="en-GB"/>
        </w:rPr>
        <w:t>буде розроблено належний індекс цін на житло. Робота над останнім триває, і під час місії було запропоновано подальші поради щодо того</w:t>
      </w:r>
      <w:r w:rsidR="00FE5118">
        <w:rPr>
          <w:lang w:val="uk-UA" w:eastAsia="en-GB"/>
        </w:rPr>
        <w:t>,</w:t>
      </w:r>
      <w:r w:rsidR="0067431C">
        <w:rPr>
          <w:lang w:val="uk-UA" w:eastAsia="en-GB"/>
        </w:rPr>
        <w:t xml:space="preserve"> як покращити чинний експериментальний індекс (див. останній розділ). Включення вартості житла, що займає власник, повинно співвідноситися з переходом на концепцію національних рахунків у 2017 році. Поводження з житлом, що займає власник, є одним </w:t>
      </w:r>
      <w:r w:rsidR="00FE5118">
        <w:rPr>
          <w:lang w:val="uk-UA" w:eastAsia="en-GB"/>
        </w:rPr>
        <w:t>і</w:t>
      </w:r>
      <w:r w:rsidR="0067431C">
        <w:rPr>
          <w:lang w:val="uk-UA" w:eastAsia="en-GB"/>
        </w:rPr>
        <w:t>з найскладніших питань, з якими стикаються ук</w:t>
      </w:r>
      <w:r w:rsidR="00FE5118">
        <w:rPr>
          <w:lang w:val="uk-UA" w:eastAsia="en-GB"/>
        </w:rPr>
        <w:t>ладачі індексів споживчих цін. Існує</w:t>
      </w:r>
      <w:r w:rsidR="0067431C">
        <w:rPr>
          <w:lang w:val="uk-UA" w:eastAsia="en-GB"/>
        </w:rPr>
        <w:t xml:space="preserve"> низка альтернативних концептуальних трактувань, і вибір між ними може мати значний вплив на загальний індекс, впл</w:t>
      </w:r>
      <w:r w:rsidR="00FE5118">
        <w:rPr>
          <w:lang w:val="uk-UA" w:eastAsia="en-GB"/>
        </w:rPr>
        <w:t>иваючи і на ваги, і, принаймні в</w:t>
      </w:r>
      <w:r w:rsidR="0067431C">
        <w:rPr>
          <w:lang w:val="uk-UA" w:eastAsia="en-GB"/>
        </w:rPr>
        <w:t xml:space="preserve"> короткостроковій перспективі, на вимірюваний рівень інфляції. Національні рахунки </w:t>
      </w:r>
      <w:r w:rsidR="00FE5118">
        <w:rPr>
          <w:lang w:val="uk-UA" w:eastAsia="en-GB"/>
        </w:rPr>
        <w:t>застосовують</w:t>
      </w:r>
      <w:r w:rsidR="0067431C">
        <w:rPr>
          <w:lang w:val="uk-UA" w:eastAsia="en-GB"/>
        </w:rPr>
        <w:t xml:space="preserve"> підхід </w:t>
      </w:r>
      <w:r w:rsidR="00FE5118">
        <w:rPr>
          <w:lang w:val="uk-UA" w:eastAsia="en-GB"/>
        </w:rPr>
        <w:t>чистої вартості купівлі</w:t>
      </w:r>
      <w:r w:rsidR="0067431C">
        <w:rPr>
          <w:lang w:val="uk-UA" w:eastAsia="en-GB"/>
        </w:rPr>
        <w:t xml:space="preserve">, як зі всіма товарами, що були в користуванні (див. згадку нижче про автомобілі, що були в користуванні). Це вимірює ціну придбання житла, що займає власник, незалежно від того, як такі придбання було профінансовано. Придбання вимірюються на базі нетто (тобто купівлі мінус продажі). Основа нетто </w:t>
      </w:r>
      <w:r w:rsidR="002B385D">
        <w:rPr>
          <w:lang w:val="uk-UA" w:eastAsia="en-GB"/>
        </w:rPr>
        <w:t xml:space="preserve">співвідноситься з трактуванням інших споживацьких товарів тривалого </w:t>
      </w:r>
      <w:r w:rsidR="00FE5118">
        <w:rPr>
          <w:lang w:val="uk-UA" w:eastAsia="en-GB"/>
        </w:rPr>
        <w:t>користування</w:t>
      </w:r>
      <w:r w:rsidR="002B385D">
        <w:rPr>
          <w:lang w:val="uk-UA" w:eastAsia="en-GB"/>
        </w:rPr>
        <w:t>, таких як автомоб</w:t>
      </w:r>
      <w:r w:rsidR="00FE5118">
        <w:rPr>
          <w:lang w:val="uk-UA" w:eastAsia="en-GB"/>
        </w:rPr>
        <w:t>ілі, де може існувати великий і</w:t>
      </w:r>
      <w:r w:rsidR="002B385D">
        <w:rPr>
          <w:lang w:val="uk-UA" w:eastAsia="en-GB"/>
        </w:rPr>
        <w:t xml:space="preserve"> активний ринок товарів, що були в користуванні. </w:t>
      </w:r>
      <w:r w:rsidR="00FE5118">
        <w:rPr>
          <w:lang w:val="uk-UA" w:eastAsia="en-GB"/>
        </w:rPr>
        <w:t>Комплексний</w:t>
      </w:r>
      <w:r w:rsidR="002B385D">
        <w:rPr>
          <w:lang w:val="uk-UA" w:eastAsia="en-GB"/>
        </w:rPr>
        <w:t xml:space="preserve"> індекс купівель повинен охоплювати вартість продовжень та переробок (наприклад, коли будинок на одну родину перероблюють на квартири) та повинен також </w:t>
      </w:r>
      <w:r w:rsidR="00FE5118">
        <w:rPr>
          <w:lang w:val="uk-UA" w:eastAsia="en-GB"/>
        </w:rPr>
        <w:t>окремо мати на увазі</w:t>
      </w:r>
      <w:r w:rsidR="002B385D">
        <w:rPr>
          <w:lang w:val="uk-UA" w:eastAsia="en-GB"/>
        </w:rPr>
        <w:t xml:space="preserve"> </w:t>
      </w:r>
      <w:r w:rsidR="0065087C">
        <w:rPr>
          <w:lang w:val="uk-UA" w:eastAsia="en-GB"/>
        </w:rPr>
        <w:t>вартість</w:t>
      </w:r>
      <w:r w:rsidR="002B385D">
        <w:rPr>
          <w:lang w:val="uk-UA" w:eastAsia="en-GB"/>
        </w:rPr>
        <w:t xml:space="preserve"> трансакцій купівлі будинку, включаючи юридичні збори. </w:t>
      </w:r>
    </w:p>
    <w:p w:rsidR="002B385D" w:rsidRPr="002B385D" w:rsidRDefault="002B385D" w:rsidP="0088229E">
      <w:pPr>
        <w:numPr>
          <w:ilvl w:val="0"/>
          <w:numId w:val="28"/>
        </w:numPr>
        <w:spacing w:before="120" w:after="120"/>
        <w:jc w:val="both"/>
        <w:rPr>
          <w:lang w:val="uk-UA"/>
        </w:rPr>
      </w:pPr>
      <w:r>
        <w:rPr>
          <w:lang w:val="uk-UA"/>
        </w:rPr>
        <w:t>Запланований перехід на концепції національних рахунків у 2017 році, що включатиме перехід на «внутрішню» концепцію, потребуватиме додаткових даних і перегляд методологій, що може потребувати перегляду Обстеження бюджетів домогосподарств (</w:t>
      </w:r>
      <w:r>
        <w:rPr>
          <w:lang w:val="en-US"/>
        </w:rPr>
        <w:t>HBS</w:t>
      </w:r>
      <w:r w:rsidRPr="002B385D">
        <w:rPr>
          <w:lang w:val="uk-UA"/>
        </w:rPr>
        <w:t xml:space="preserve">) </w:t>
      </w:r>
      <w:r>
        <w:rPr>
          <w:lang w:val="uk-UA"/>
        </w:rPr>
        <w:t xml:space="preserve">та дослідження альтернативних джерел даних, окрім </w:t>
      </w:r>
      <w:r>
        <w:rPr>
          <w:lang w:val="en-US"/>
        </w:rPr>
        <w:t>HBS</w:t>
      </w:r>
      <w:r w:rsidRPr="002B385D">
        <w:rPr>
          <w:lang w:val="uk-UA"/>
        </w:rPr>
        <w:t>.</w:t>
      </w:r>
      <w:r>
        <w:rPr>
          <w:lang w:val="uk-UA"/>
        </w:rPr>
        <w:t xml:space="preserve"> Це включає такі питання, як включення та </w:t>
      </w:r>
      <w:r w:rsidR="0065087C">
        <w:rPr>
          <w:lang w:val="uk-UA"/>
        </w:rPr>
        <w:t>оцін</w:t>
      </w:r>
      <w:r>
        <w:rPr>
          <w:lang w:val="uk-UA"/>
        </w:rPr>
        <w:t xml:space="preserve">ювання автомобілів, що були в користуванні, та трактування автомобільного страхування (хоча зрозуміло, що останнє зазвичай обмежене страхуванням третьої особи), страхування житла та приватного медичного страхування (хоча його купують </w:t>
      </w:r>
      <w:r w:rsidR="0065087C">
        <w:rPr>
          <w:lang w:val="uk-UA"/>
        </w:rPr>
        <w:t>нечасто). Наприклад:</w:t>
      </w:r>
    </w:p>
    <w:p w:rsidR="001D3E81" w:rsidRPr="001D3E81" w:rsidRDefault="0065087C" w:rsidP="00D36098">
      <w:pPr>
        <w:numPr>
          <w:ilvl w:val="1"/>
          <w:numId w:val="28"/>
        </w:numPr>
        <w:spacing w:before="120" w:after="120"/>
        <w:jc w:val="both"/>
        <w:rPr>
          <w:color w:val="000000" w:themeColor="text1"/>
          <w:lang w:val="uk-UA"/>
        </w:rPr>
      </w:pPr>
      <w:r w:rsidRPr="00A645F3">
        <w:rPr>
          <w:lang w:val="uk-UA"/>
        </w:rPr>
        <w:t>СНР</w:t>
      </w:r>
      <w:r w:rsidR="001D3E81" w:rsidRPr="00A645F3">
        <w:rPr>
          <w:lang w:val="uk-UA"/>
        </w:rPr>
        <w:t xml:space="preserve"> зазначає, що </w:t>
      </w:r>
      <w:r w:rsidRPr="00A645F3">
        <w:rPr>
          <w:lang w:val="uk-UA"/>
        </w:rPr>
        <w:t>продажі товарів, що були в</w:t>
      </w:r>
      <w:r w:rsidR="001D3E81" w:rsidRPr="00A645F3">
        <w:rPr>
          <w:lang w:val="uk-UA"/>
        </w:rPr>
        <w:t xml:space="preserve"> користуванні (тобто товари тривалого </w:t>
      </w:r>
      <w:r w:rsidRPr="00A645F3">
        <w:rPr>
          <w:lang w:val="uk-UA"/>
        </w:rPr>
        <w:t>користування</w:t>
      </w:r>
      <w:r w:rsidR="001D3E81" w:rsidRPr="00A645F3">
        <w:rPr>
          <w:lang w:val="uk-UA"/>
        </w:rPr>
        <w:t xml:space="preserve">, що були частково використані), повинні враховуватися і розглядаються як негативні витрати в СНР, щоб </w:t>
      </w:r>
      <w:r w:rsidRPr="00A645F3">
        <w:rPr>
          <w:lang w:val="uk-UA"/>
        </w:rPr>
        <w:t>бути послідовним із трактуванням</w:t>
      </w:r>
      <w:r w:rsidR="001D3E81" w:rsidRPr="00A645F3">
        <w:rPr>
          <w:lang w:val="uk-UA"/>
        </w:rPr>
        <w:t xml:space="preserve"> </w:t>
      </w:r>
      <w:r w:rsidRPr="00A645F3">
        <w:rPr>
          <w:lang w:val="uk-UA"/>
        </w:rPr>
        <w:t>первинни</w:t>
      </w:r>
      <w:r w:rsidR="001D3E81" w:rsidRPr="00A645F3">
        <w:rPr>
          <w:lang w:val="uk-UA"/>
        </w:rPr>
        <w:t>х покупок. Більше того, відкладаючи аргумент національних рахунків, альтернативним варіантом</w:t>
      </w:r>
      <w:r w:rsidR="00A04FCE" w:rsidRPr="00A645F3">
        <w:rPr>
          <w:lang w:val="uk-UA"/>
        </w:rPr>
        <w:t xml:space="preserve"> використання вагів валов</w:t>
      </w:r>
      <w:r w:rsidRPr="00A645F3">
        <w:rPr>
          <w:lang w:val="uk-UA"/>
        </w:rPr>
        <w:t>ої суми</w:t>
      </w:r>
      <w:r w:rsidR="00A04FCE" w:rsidRPr="00A645F3">
        <w:rPr>
          <w:lang w:val="uk-UA"/>
        </w:rPr>
        <w:t xml:space="preserve"> витрат</w:t>
      </w:r>
      <w:r w:rsidR="00A04FCE">
        <w:rPr>
          <w:color w:val="000000" w:themeColor="text1"/>
          <w:lang w:val="uk-UA"/>
        </w:rPr>
        <w:t xml:space="preserve"> та включення товарів</w:t>
      </w:r>
      <w:r>
        <w:rPr>
          <w:color w:val="000000" w:themeColor="text1"/>
          <w:lang w:val="uk-UA"/>
        </w:rPr>
        <w:t xml:space="preserve"> короткострокового користування </w:t>
      </w:r>
      <w:r w:rsidR="00A04FCE">
        <w:rPr>
          <w:color w:val="000000" w:themeColor="text1"/>
          <w:lang w:val="uk-UA"/>
        </w:rPr>
        <w:t xml:space="preserve">буде неповним з індексом, що базується на придбаннях та може </w:t>
      </w:r>
      <w:r>
        <w:rPr>
          <w:color w:val="000000" w:themeColor="text1"/>
          <w:lang w:val="uk-UA"/>
        </w:rPr>
        <w:t>достатньо</w:t>
      </w:r>
      <w:r w:rsidR="00A04FCE">
        <w:rPr>
          <w:color w:val="000000" w:themeColor="text1"/>
          <w:lang w:val="uk-UA"/>
        </w:rPr>
        <w:t xml:space="preserve"> перебільшувати, потенційно на значну суму, ресурси, які виділені домогосподарствами</w:t>
      </w:r>
      <w:r>
        <w:rPr>
          <w:color w:val="000000" w:themeColor="text1"/>
          <w:lang w:val="uk-UA"/>
        </w:rPr>
        <w:t xml:space="preserve"> на придбання товарів, що були в</w:t>
      </w:r>
      <w:r w:rsidR="00A04FCE">
        <w:rPr>
          <w:color w:val="000000" w:themeColor="text1"/>
          <w:lang w:val="uk-UA"/>
        </w:rPr>
        <w:t xml:space="preserve"> користуванні, як от автомобілі. Таким чином, підходом є той, що вимірює </w:t>
      </w:r>
      <w:r>
        <w:rPr>
          <w:color w:val="000000" w:themeColor="text1"/>
          <w:lang w:val="uk-UA"/>
        </w:rPr>
        <w:t xml:space="preserve">чисту </w:t>
      </w:r>
      <w:r w:rsidR="00A04FCE">
        <w:rPr>
          <w:color w:val="000000" w:themeColor="text1"/>
          <w:lang w:val="uk-UA"/>
        </w:rPr>
        <w:t xml:space="preserve">вартість придбання </w:t>
      </w:r>
      <w:r>
        <w:rPr>
          <w:color w:val="000000" w:themeColor="text1"/>
          <w:lang w:val="uk-UA"/>
        </w:rPr>
        <w:t>(</w:t>
      </w:r>
      <w:r w:rsidR="00A04FCE">
        <w:rPr>
          <w:color w:val="000000" w:themeColor="text1"/>
          <w:lang w:val="uk-UA"/>
        </w:rPr>
        <w:t>нетто</w:t>
      </w:r>
      <w:r>
        <w:rPr>
          <w:color w:val="000000" w:themeColor="text1"/>
          <w:lang w:val="uk-UA"/>
        </w:rPr>
        <w:t>). Ваги загалом беруться з о</w:t>
      </w:r>
      <w:r w:rsidR="00A04FCE">
        <w:rPr>
          <w:color w:val="000000" w:themeColor="text1"/>
          <w:lang w:val="uk-UA"/>
        </w:rPr>
        <w:t>бстежень бюджетів домогосподарств, що мають охо</w:t>
      </w:r>
      <w:r>
        <w:rPr>
          <w:color w:val="000000" w:themeColor="text1"/>
          <w:lang w:val="uk-UA"/>
        </w:rPr>
        <w:t>плювати товари, що були в</w:t>
      </w:r>
      <w:r w:rsidR="00A04FCE">
        <w:rPr>
          <w:color w:val="000000" w:themeColor="text1"/>
          <w:lang w:val="uk-UA"/>
        </w:rPr>
        <w:t xml:space="preserve"> користуванні, включаючи питання, які можна використовувати для розрахунку відповідної ваги витрат нетто. </w:t>
      </w:r>
    </w:p>
    <w:p w:rsidR="00A04FCE" w:rsidRPr="00A04FCE" w:rsidRDefault="00A04FCE" w:rsidP="00D36098">
      <w:pPr>
        <w:numPr>
          <w:ilvl w:val="1"/>
          <w:numId w:val="28"/>
        </w:numPr>
        <w:spacing w:before="120" w:after="120"/>
        <w:jc w:val="both"/>
        <w:rPr>
          <w:lang w:val="ru-RU"/>
        </w:rPr>
      </w:pPr>
      <w:r>
        <w:rPr>
          <w:lang w:val="uk-UA"/>
        </w:rPr>
        <w:t>Теоретично існує «три задовільних альтернативних трактування» страхування.</w:t>
      </w:r>
    </w:p>
    <w:p w:rsidR="00A04FCE" w:rsidRPr="00A04FCE" w:rsidRDefault="00A04FCE" w:rsidP="00D36098">
      <w:pPr>
        <w:numPr>
          <w:ilvl w:val="2"/>
          <w:numId w:val="28"/>
        </w:numPr>
        <w:spacing w:before="120" w:after="120"/>
        <w:jc w:val="both"/>
        <w:rPr>
          <w:lang w:val="ru-RU"/>
        </w:rPr>
      </w:pPr>
      <w:r>
        <w:rPr>
          <w:lang w:val="uk-UA"/>
        </w:rPr>
        <w:t>Валові страхові премії / медичні витрати нетто.</w:t>
      </w:r>
    </w:p>
    <w:p w:rsidR="00D36098" w:rsidRPr="00346212" w:rsidRDefault="00794E49" w:rsidP="00D36098">
      <w:pPr>
        <w:numPr>
          <w:ilvl w:val="2"/>
          <w:numId w:val="28"/>
        </w:numPr>
        <w:spacing w:before="120" w:after="120"/>
        <w:jc w:val="both"/>
        <w:rPr>
          <w:lang w:val="ru-RU"/>
        </w:rPr>
      </w:pPr>
      <w:r>
        <w:rPr>
          <w:lang w:val="uk-UA"/>
        </w:rPr>
        <w:t xml:space="preserve">Страхові премії нетто / валові медичні витрати. </w:t>
      </w:r>
    </w:p>
    <w:p w:rsidR="00D36098" w:rsidRPr="00D36098" w:rsidRDefault="00794E49" w:rsidP="00D36098">
      <w:pPr>
        <w:numPr>
          <w:ilvl w:val="2"/>
          <w:numId w:val="28"/>
        </w:numPr>
        <w:spacing w:before="120" w:after="120"/>
        <w:jc w:val="both"/>
      </w:pPr>
      <w:r>
        <w:rPr>
          <w:lang w:val="uk-UA"/>
        </w:rPr>
        <w:t xml:space="preserve">Валові премії / валові витрати. </w:t>
      </w:r>
    </w:p>
    <w:p w:rsidR="00715C25" w:rsidRDefault="00715C25" w:rsidP="0088257F">
      <w:pPr>
        <w:spacing w:before="120" w:after="120"/>
        <w:ind w:left="1416"/>
        <w:jc w:val="both"/>
        <w:rPr>
          <w:lang w:val="uk-UA"/>
        </w:rPr>
      </w:pPr>
      <w:r>
        <w:rPr>
          <w:lang w:val="uk-UA"/>
        </w:rPr>
        <w:t>Якщо застосовувати це до медичного страхування, наприклад, перша з цих альтернатив призводить до відносно великої ваги для медичного страхування і малих вагів для категорій медичного догляду. Другий варіант змінює це на</w:t>
      </w:r>
      <w:r w:rsidR="00711266">
        <w:rPr>
          <w:lang w:val="uk-UA"/>
        </w:rPr>
        <w:t>впаки</w:t>
      </w:r>
      <w:r>
        <w:rPr>
          <w:lang w:val="uk-UA"/>
        </w:rPr>
        <w:t>. Третій – двічі рахує спожив</w:t>
      </w:r>
      <w:r w:rsidR="00711266">
        <w:rPr>
          <w:lang w:val="uk-UA"/>
        </w:rPr>
        <w:t>ч</w:t>
      </w:r>
      <w:r>
        <w:rPr>
          <w:lang w:val="uk-UA"/>
        </w:rPr>
        <w:t xml:space="preserve">і витрати і не має використовуватися. Метод премій «нетто» є </w:t>
      </w:r>
      <w:r w:rsidRPr="00A645F3">
        <w:rPr>
          <w:lang w:val="uk-UA"/>
        </w:rPr>
        <w:t xml:space="preserve">найбільш розповсюдженим підходом, що застосовується в ІСЦ. Тут вага </w:t>
      </w:r>
      <w:r w:rsidR="00711266" w:rsidRPr="00A645F3">
        <w:rPr>
          <w:lang w:val="uk-UA"/>
        </w:rPr>
        <w:t>простих</w:t>
      </w:r>
      <w:r w:rsidR="000D24C4" w:rsidRPr="00A645F3">
        <w:rPr>
          <w:lang w:val="uk-UA"/>
        </w:rPr>
        <w:t xml:space="preserve"> агрегатів</w:t>
      </w:r>
      <w:r w:rsidR="00B73EE4" w:rsidRPr="00A645F3">
        <w:rPr>
          <w:lang w:val="uk-UA"/>
        </w:rPr>
        <w:t xml:space="preserve"> </w:t>
      </w:r>
      <w:r w:rsidRPr="00A645F3">
        <w:rPr>
          <w:lang w:val="uk-UA"/>
        </w:rPr>
        <w:t xml:space="preserve">страхування в ІСЦ </w:t>
      </w:r>
      <w:r w:rsidR="00B73EE4" w:rsidRPr="00A645F3">
        <w:rPr>
          <w:lang w:val="uk-UA"/>
        </w:rPr>
        <w:t xml:space="preserve">є сплаченою валовою премією мінус відшкодування, виплачене страхувальниками. Вага ІСЦ складає витрати страхових компаній та їхній прибуток, що буде набагато менше, ніж валовий товарообіг. Підхід нетто розподіляє витрати </w:t>
      </w:r>
      <w:r w:rsidR="00CD2E8C" w:rsidRPr="00A645F3">
        <w:rPr>
          <w:lang w:val="uk-UA"/>
        </w:rPr>
        <w:t>на премії медичного страхув</w:t>
      </w:r>
      <w:r w:rsidR="00711266" w:rsidRPr="00A645F3">
        <w:rPr>
          <w:lang w:val="uk-UA"/>
        </w:rPr>
        <w:t>ання, які споживачі звітують в о</w:t>
      </w:r>
      <w:r w:rsidR="00CD2E8C" w:rsidRPr="00A645F3">
        <w:rPr>
          <w:lang w:val="uk-UA"/>
        </w:rPr>
        <w:t xml:space="preserve">бстеженні бюджетів домогосподарств як </w:t>
      </w:r>
      <w:r w:rsidR="00711266" w:rsidRPr="00A645F3">
        <w:rPr>
          <w:lang w:val="uk-UA"/>
        </w:rPr>
        <w:t>прост</w:t>
      </w:r>
      <w:r w:rsidR="000D24C4" w:rsidRPr="00A645F3">
        <w:rPr>
          <w:lang w:val="uk-UA"/>
        </w:rPr>
        <w:t>і агрегати</w:t>
      </w:r>
      <w:r w:rsidR="00CD2E8C" w:rsidRPr="00A645F3">
        <w:rPr>
          <w:lang w:val="uk-UA"/>
        </w:rPr>
        <w:t xml:space="preserve"> інших послуг медичного догляду. Це зазвичай робиться з використанням даних страхової індустрії щодо доходу страхових компаній, отриманого з премій та виплат компанія лікарям, лікарням, клінікам, аптекам та будь-яким іншим постачальникам. Для того, щоб це зробити, укладач індексу розраховує частку виплати кожному виду постачальників та розподіляє премії медичного страхування до інших </w:t>
      </w:r>
      <w:r w:rsidR="00711266" w:rsidRPr="00A645F3">
        <w:rPr>
          <w:lang w:val="uk-UA"/>
        </w:rPr>
        <w:t>простих</w:t>
      </w:r>
      <w:r w:rsidR="000D24C4" w:rsidRPr="00A645F3">
        <w:rPr>
          <w:lang w:val="uk-UA"/>
        </w:rPr>
        <w:t xml:space="preserve"> агрегатів</w:t>
      </w:r>
      <w:r w:rsidR="00CD2E8C" w:rsidRPr="00A645F3">
        <w:rPr>
          <w:lang w:val="uk-UA"/>
        </w:rPr>
        <w:t xml:space="preserve"> медичного догляду пропорційно до цих часток. Компанії медичного страхування утримують невеликі частини невиплачених премій як </w:t>
      </w:r>
      <w:r w:rsidR="00711266" w:rsidRPr="00A645F3">
        <w:rPr>
          <w:lang w:val="uk-UA"/>
        </w:rPr>
        <w:t>вигоду</w:t>
      </w:r>
      <w:r w:rsidR="0072227A" w:rsidRPr="00A645F3">
        <w:rPr>
          <w:lang w:val="uk-UA"/>
        </w:rPr>
        <w:t>, що покриває накладні витрати та дохід. ІСЦ може трактувати це як окрем</w:t>
      </w:r>
      <w:r w:rsidR="00711266" w:rsidRPr="00A645F3">
        <w:rPr>
          <w:lang w:val="uk-UA"/>
        </w:rPr>
        <w:t>ий простий</w:t>
      </w:r>
      <w:r w:rsidR="00711266">
        <w:rPr>
          <w:lang w:val="uk-UA"/>
        </w:rPr>
        <w:t xml:space="preserve"> агрегат </w:t>
      </w:r>
      <w:r w:rsidR="0072227A">
        <w:rPr>
          <w:lang w:val="uk-UA"/>
        </w:rPr>
        <w:t xml:space="preserve">для медичного страхування або просто розподілити на категорії медичного страхування, використовуючи ті самі пропорції. </w:t>
      </w:r>
    </w:p>
    <w:p w:rsidR="004A5612" w:rsidRPr="004A5612" w:rsidRDefault="004A5612" w:rsidP="007234D4">
      <w:pPr>
        <w:numPr>
          <w:ilvl w:val="0"/>
          <w:numId w:val="28"/>
        </w:numPr>
        <w:spacing w:before="120" w:after="120"/>
        <w:jc w:val="both"/>
        <w:rPr>
          <w:lang w:val="uk-UA"/>
        </w:rPr>
      </w:pPr>
      <w:r w:rsidRPr="004A5612">
        <w:rPr>
          <w:lang w:val="uk-UA"/>
        </w:rPr>
        <w:t xml:space="preserve">Переходячи на концепцію національних рахунків, потрібно провести дослідження щодо значної розбіжності між вагами для витрат на продукти харчування та транспорт в </w:t>
      </w:r>
      <w:r w:rsidR="00711266">
        <w:rPr>
          <w:lang w:val="uk-UA"/>
        </w:rPr>
        <w:t xml:space="preserve">обстеженнях бюджетів домогосподарств </w:t>
      </w:r>
      <w:r w:rsidR="00711266" w:rsidRPr="00711266">
        <w:rPr>
          <w:lang w:val="uk-UA"/>
        </w:rPr>
        <w:t>(</w:t>
      </w:r>
      <w:r w:rsidRPr="004A5612">
        <w:rPr>
          <w:lang w:val="uk-UA"/>
        </w:rPr>
        <w:t>ОБД</w:t>
      </w:r>
      <w:r w:rsidR="00711266" w:rsidRPr="00711266">
        <w:rPr>
          <w:lang w:val="uk-UA"/>
        </w:rPr>
        <w:t>)</w:t>
      </w:r>
      <w:r w:rsidRPr="004A5612">
        <w:rPr>
          <w:lang w:val="uk-UA"/>
        </w:rPr>
        <w:t xml:space="preserve"> та національни</w:t>
      </w:r>
      <w:r>
        <w:rPr>
          <w:lang w:val="uk-UA"/>
        </w:rPr>
        <w:t>х рахунках. Вага ОБД на продукти харчування є вищою, а вага ОБД на транспорт є нижчою. Визнаючи, що можуть бути закон</w:t>
      </w:r>
      <w:r w:rsidR="00711266">
        <w:rPr>
          <w:lang w:val="uk-UA"/>
        </w:rPr>
        <w:t>одавчі</w:t>
      </w:r>
      <w:r>
        <w:rPr>
          <w:lang w:val="uk-UA"/>
        </w:rPr>
        <w:t xml:space="preserve"> різниці через охоплення та джерела даних і т.д., поточні великі різниці важко пояснити. </w:t>
      </w:r>
    </w:p>
    <w:p w:rsidR="004A5612" w:rsidRPr="004A5612" w:rsidRDefault="004A5612" w:rsidP="00012773">
      <w:pPr>
        <w:numPr>
          <w:ilvl w:val="0"/>
          <w:numId w:val="28"/>
        </w:numPr>
        <w:spacing w:before="120" w:after="120"/>
        <w:jc w:val="both"/>
        <w:rPr>
          <w:lang w:val="uk-UA"/>
        </w:rPr>
      </w:pPr>
      <w:r>
        <w:rPr>
          <w:lang w:val="uk-UA"/>
        </w:rPr>
        <w:t xml:space="preserve">Стосовно питання вагів, методологію для оновлення ціни слід переглядати, коли запровадять місячну ланцюгову прив’язку до січня, як частину </w:t>
      </w:r>
      <w:r w:rsidR="0061534C">
        <w:rPr>
          <w:lang w:val="uk-UA"/>
        </w:rPr>
        <w:t>«</w:t>
      </w:r>
      <w:r>
        <w:rPr>
          <w:lang w:val="uk-UA"/>
        </w:rPr>
        <w:t>Практичного посібника щодо вироблення індексів споживчих цін ООН</w:t>
      </w:r>
      <w:r w:rsidR="0061534C">
        <w:rPr>
          <w:lang w:val="uk-UA"/>
        </w:rPr>
        <w:t>»</w:t>
      </w:r>
      <w:r>
        <w:rPr>
          <w:lang w:val="uk-UA"/>
        </w:rPr>
        <w:t xml:space="preserve">, параграфи 4.76 – 4.84 та Додаток 4.2 (зауважте, що колонку 5 Таблиці 4.2.1 слід читати як </w:t>
      </w:r>
      <w:r w:rsidRPr="007234D4">
        <w:t>d</w:t>
      </w:r>
      <w:r w:rsidRPr="004A5612">
        <w:rPr>
          <w:lang w:val="uk-UA"/>
        </w:rPr>
        <w:t>=</w:t>
      </w:r>
      <w:r w:rsidRPr="007234D4">
        <w:t>a</w:t>
      </w:r>
      <w:r w:rsidRPr="004A5612">
        <w:rPr>
          <w:lang w:val="uk-UA"/>
        </w:rPr>
        <w:t xml:space="preserve"> </w:t>
      </w:r>
      <w:r w:rsidRPr="007234D4">
        <w:t>x</w:t>
      </w:r>
      <w:r w:rsidRPr="004A5612">
        <w:rPr>
          <w:lang w:val="uk-UA"/>
        </w:rPr>
        <w:t xml:space="preserve"> (</w:t>
      </w:r>
      <w:r w:rsidRPr="007234D4">
        <w:t>c</w:t>
      </w:r>
      <w:r w:rsidRPr="004A5612">
        <w:rPr>
          <w:lang w:val="uk-UA"/>
        </w:rPr>
        <w:t>/</w:t>
      </w:r>
      <w:r w:rsidRPr="007234D4">
        <w:t>b</w:t>
      </w:r>
      <w:r w:rsidRPr="004A5612">
        <w:rPr>
          <w:lang w:val="uk-UA"/>
        </w:rPr>
        <w:t>).</w:t>
      </w:r>
      <w:r>
        <w:rPr>
          <w:lang w:val="uk-UA"/>
        </w:rPr>
        <w:t xml:space="preserve"> Це схоже на розрахунок МВФ, але є більш точним. </w:t>
      </w:r>
    </w:p>
    <w:p w:rsidR="004A5612" w:rsidRPr="004A5612" w:rsidRDefault="004A5612" w:rsidP="00012773">
      <w:pPr>
        <w:numPr>
          <w:ilvl w:val="0"/>
          <w:numId w:val="28"/>
        </w:numPr>
        <w:spacing w:before="120" w:after="120"/>
        <w:jc w:val="both"/>
        <w:rPr>
          <w:lang w:val="uk-UA"/>
        </w:rPr>
      </w:pPr>
      <w:r>
        <w:rPr>
          <w:lang w:val="uk-UA"/>
        </w:rPr>
        <w:t xml:space="preserve">Повний перегляд корзини ІСЦ проводиться лише кожні 5 років, незважаючи на той факт, що є щорічні ОБД і ІСЦ перебазовується і прив’язується ланцюгово щороку. </w:t>
      </w:r>
      <w:r w:rsidR="00A263E3" w:rsidRPr="0061534C">
        <w:rPr>
          <w:lang w:val="uk-UA"/>
        </w:rPr>
        <w:t>Завдя</w:t>
      </w:r>
      <w:r w:rsidR="0061534C" w:rsidRPr="0061534C">
        <w:rPr>
          <w:lang w:val="uk-UA"/>
        </w:rPr>
        <w:t>чуючи</w:t>
      </w:r>
      <w:r w:rsidR="00A263E3" w:rsidRPr="0061534C">
        <w:rPr>
          <w:lang w:val="uk-UA"/>
        </w:rPr>
        <w:t xml:space="preserve"> </w:t>
      </w:r>
      <w:r w:rsidR="00A263E3">
        <w:rPr>
          <w:lang w:val="uk-UA"/>
        </w:rPr>
        <w:t>ДССУ, укладачі ІСЦ</w:t>
      </w:r>
      <w:r w:rsidR="0061534C">
        <w:rPr>
          <w:lang w:val="uk-UA"/>
        </w:rPr>
        <w:t xml:space="preserve"> проводять моніторинг роздрібного</w:t>
      </w:r>
      <w:r w:rsidR="00A263E3">
        <w:rPr>
          <w:lang w:val="uk-UA"/>
        </w:rPr>
        <w:t xml:space="preserve"> рин</w:t>
      </w:r>
      <w:r w:rsidR="0061534C">
        <w:rPr>
          <w:lang w:val="uk-UA"/>
        </w:rPr>
        <w:t>ку</w:t>
      </w:r>
      <w:r w:rsidR="00A263E3">
        <w:rPr>
          <w:lang w:val="uk-UA"/>
        </w:rPr>
        <w:t xml:space="preserve"> на всі нові значні товари. Але оновлення корзини слід проводити заплановано і більш контрольовано, як невід</w:t>
      </w:r>
      <w:r w:rsidR="00A263E3" w:rsidRPr="00A263E3">
        <w:rPr>
          <w:lang w:val="ru-RU"/>
        </w:rPr>
        <w:t>’</w:t>
      </w:r>
      <w:r w:rsidR="00A263E3">
        <w:rPr>
          <w:lang w:val="uk-UA"/>
        </w:rPr>
        <w:t>ємну частину щорічного</w:t>
      </w:r>
      <w:r w:rsidR="0061534C">
        <w:rPr>
          <w:lang w:val="uk-UA"/>
        </w:rPr>
        <w:t xml:space="preserve"> процесу оновлення вагів, переба</w:t>
      </w:r>
      <w:r w:rsidR="00A263E3">
        <w:rPr>
          <w:lang w:val="uk-UA"/>
        </w:rPr>
        <w:t xml:space="preserve">зування та ланцюгової прив’язки. Це не повинно бути великим закликом до ресурсів, а максимізує використання наявної інформації, яку можна ефективно </w:t>
      </w:r>
      <w:r w:rsidR="00A263E3" w:rsidRPr="001B3D7F">
        <w:rPr>
          <w:lang w:val="uk-UA"/>
        </w:rPr>
        <w:t>використовувати</w:t>
      </w:r>
      <w:r w:rsidR="00A263E3">
        <w:rPr>
          <w:lang w:val="uk-UA"/>
        </w:rPr>
        <w:t xml:space="preserve"> для покращення якості індексу. </w:t>
      </w:r>
    </w:p>
    <w:p w:rsidR="00A263E3" w:rsidRPr="00A645F3" w:rsidRDefault="00A263E3" w:rsidP="00D94656">
      <w:pPr>
        <w:pStyle w:val="11"/>
        <w:numPr>
          <w:ilvl w:val="0"/>
          <w:numId w:val="28"/>
        </w:numPr>
        <w:tabs>
          <w:tab w:val="clear" w:pos="3061"/>
        </w:tabs>
        <w:spacing w:after="140" w:line="240" w:lineRule="auto"/>
        <w:rPr>
          <w:rFonts w:ascii="Times New Roman" w:hAnsi="Times New Roman"/>
          <w:color w:val="auto"/>
          <w:sz w:val="24"/>
          <w:szCs w:val="24"/>
          <w:lang w:val="uk-UA"/>
        </w:rPr>
      </w:pPr>
      <w:r>
        <w:rPr>
          <w:rFonts w:ascii="Times New Roman" w:hAnsi="Times New Roman"/>
          <w:sz w:val="24"/>
          <w:szCs w:val="24"/>
          <w:lang w:val="uk-UA"/>
        </w:rPr>
        <w:t xml:space="preserve">Загалом, органи національної статистики приймають чотири рівні створення вибірок для реєстрації цін на місцях: місця </w:t>
      </w:r>
      <w:r w:rsidRPr="00A645F3">
        <w:rPr>
          <w:rFonts w:ascii="Times New Roman" w:hAnsi="Times New Roman"/>
          <w:color w:val="auto"/>
          <w:sz w:val="24"/>
          <w:szCs w:val="24"/>
          <w:lang w:val="uk-UA"/>
        </w:rPr>
        <w:t>розташування; торгові точки в місцях розташування; товари в різних розділах класифікації витрат; та асортимент товарів. Стратифікація також часто застосовується для підвищення ефективності вибірки, особливо там, де роздрібний ринок є неоднорідним. Часто використовується суміш ймовірн</w:t>
      </w:r>
      <w:r w:rsidR="001B3D7F" w:rsidRPr="00A645F3">
        <w:rPr>
          <w:rFonts w:ascii="Times New Roman" w:hAnsi="Times New Roman"/>
          <w:color w:val="auto"/>
          <w:sz w:val="24"/>
          <w:szCs w:val="24"/>
          <w:lang w:val="uk-UA"/>
        </w:rPr>
        <w:t>існ</w:t>
      </w:r>
      <w:r w:rsidRPr="00A645F3">
        <w:rPr>
          <w:rFonts w:ascii="Times New Roman" w:hAnsi="Times New Roman"/>
          <w:color w:val="auto"/>
          <w:sz w:val="24"/>
          <w:szCs w:val="24"/>
          <w:lang w:val="uk-UA"/>
        </w:rPr>
        <w:t>ої вибірки та неймовірн</w:t>
      </w:r>
      <w:r w:rsidR="001B3D7F" w:rsidRPr="00A645F3">
        <w:rPr>
          <w:rFonts w:ascii="Times New Roman" w:hAnsi="Times New Roman"/>
          <w:color w:val="auto"/>
          <w:sz w:val="24"/>
          <w:szCs w:val="24"/>
          <w:lang w:val="uk-UA"/>
        </w:rPr>
        <w:t>існ</w:t>
      </w:r>
      <w:r w:rsidRPr="00A645F3">
        <w:rPr>
          <w:rFonts w:ascii="Times New Roman" w:hAnsi="Times New Roman"/>
          <w:color w:val="auto"/>
          <w:sz w:val="24"/>
          <w:szCs w:val="24"/>
          <w:lang w:val="uk-UA"/>
        </w:rPr>
        <w:t xml:space="preserve">ої (цільової) вибірки. Кінцевою метою є загальна вибірка, що є репрезентативною для загальної сукупності товарів та послуг, що пропонуються на продаж та купуються. В Україні, вибір торгових точок базується здебільшого на випадковій вибірці, але залежить від точності адміністративних джерел, включаючи бізнес-реєстри. Бажано було б мати більше інформації щодо останнього. </w:t>
      </w:r>
    </w:p>
    <w:p w:rsidR="00D94656" w:rsidRPr="0044295E" w:rsidRDefault="00A263E3" w:rsidP="0044295E">
      <w:pPr>
        <w:pStyle w:val="11"/>
        <w:numPr>
          <w:ilvl w:val="0"/>
          <w:numId w:val="28"/>
        </w:numPr>
        <w:tabs>
          <w:tab w:val="clear" w:pos="3061"/>
        </w:tabs>
        <w:spacing w:after="140" w:line="240" w:lineRule="auto"/>
        <w:rPr>
          <w:rFonts w:ascii="Times New Roman" w:hAnsi="Times New Roman"/>
          <w:sz w:val="24"/>
          <w:szCs w:val="24"/>
          <w:lang w:val="uk-UA"/>
        </w:rPr>
      </w:pPr>
      <w:r w:rsidRPr="00A645F3">
        <w:rPr>
          <w:rFonts w:ascii="Times New Roman" w:hAnsi="Times New Roman"/>
          <w:color w:val="auto"/>
          <w:sz w:val="24"/>
          <w:szCs w:val="24"/>
          <w:lang w:val="uk-UA"/>
        </w:rPr>
        <w:t xml:space="preserve">Контроль якості збору даних та розрахунку </w:t>
      </w:r>
      <w:r w:rsidR="001B3D7F" w:rsidRPr="00A645F3">
        <w:rPr>
          <w:rFonts w:ascii="Times New Roman" w:hAnsi="Times New Roman"/>
          <w:color w:val="auto"/>
          <w:sz w:val="24"/>
          <w:szCs w:val="24"/>
          <w:lang w:val="uk-UA"/>
        </w:rPr>
        <w:t>простих</w:t>
      </w:r>
      <w:r w:rsidR="000D24C4" w:rsidRPr="00A645F3">
        <w:rPr>
          <w:rFonts w:ascii="Times New Roman" w:hAnsi="Times New Roman"/>
          <w:color w:val="auto"/>
          <w:sz w:val="24"/>
          <w:szCs w:val="24"/>
          <w:lang w:val="uk-UA"/>
        </w:rPr>
        <w:t xml:space="preserve"> агрегатів</w:t>
      </w:r>
      <w:r w:rsidRPr="00A645F3">
        <w:rPr>
          <w:rFonts w:ascii="Times New Roman" w:hAnsi="Times New Roman"/>
          <w:color w:val="auto"/>
          <w:sz w:val="24"/>
          <w:szCs w:val="24"/>
          <w:lang w:val="uk-UA"/>
        </w:rPr>
        <w:t xml:space="preserve"> є особливо складним в таких країнах, як Україна, де є надзвичайно велика площа території з населенням, розкиданим по багатьох містах і селах по всій країні. </w:t>
      </w:r>
      <w:r w:rsidR="0044295E" w:rsidRPr="00A645F3">
        <w:rPr>
          <w:rFonts w:ascii="Times New Roman" w:hAnsi="Times New Roman"/>
          <w:color w:val="auto"/>
          <w:sz w:val="24"/>
          <w:szCs w:val="24"/>
          <w:lang w:val="uk-UA"/>
        </w:rPr>
        <w:t>Головний офіс ДССУ в Києві сильно залежить від регіональних відділень у</w:t>
      </w:r>
      <w:r w:rsidR="001B3D7F" w:rsidRPr="00A645F3">
        <w:rPr>
          <w:rFonts w:ascii="Times New Roman" w:hAnsi="Times New Roman"/>
          <w:color w:val="auto"/>
          <w:sz w:val="24"/>
          <w:szCs w:val="24"/>
          <w:lang w:val="uk-UA"/>
        </w:rPr>
        <w:t xml:space="preserve"> питанні</w:t>
      </w:r>
      <w:r w:rsidR="0044295E" w:rsidRPr="00A645F3">
        <w:rPr>
          <w:rFonts w:ascii="Times New Roman" w:hAnsi="Times New Roman"/>
          <w:color w:val="auto"/>
          <w:sz w:val="24"/>
          <w:szCs w:val="24"/>
          <w:lang w:val="uk-UA"/>
        </w:rPr>
        <w:t xml:space="preserve"> зб</w:t>
      </w:r>
      <w:r w:rsidR="001B3D7F" w:rsidRPr="00A645F3">
        <w:rPr>
          <w:rFonts w:ascii="Times New Roman" w:hAnsi="Times New Roman"/>
          <w:color w:val="auto"/>
          <w:sz w:val="24"/>
          <w:szCs w:val="24"/>
          <w:lang w:val="uk-UA"/>
        </w:rPr>
        <w:t>ору</w:t>
      </w:r>
      <w:r w:rsidR="0044295E" w:rsidRPr="00A645F3">
        <w:rPr>
          <w:rFonts w:ascii="Times New Roman" w:hAnsi="Times New Roman"/>
          <w:color w:val="auto"/>
          <w:sz w:val="24"/>
          <w:szCs w:val="24"/>
          <w:lang w:val="uk-UA"/>
        </w:rPr>
        <w:t xml:space="preserve"> цінових даних та розрахунку індексів </w:t>
      </w:r>
      <w:r w:rsidR="001B3D7F" w:rsidRPr="00A645F3">
        <w:rPr>
          <w:rFonts w:ascii="Times New Roman" w:hAnsi="Times New Roman"/>
          <w:color w:val="auto"/>
          <w:sz w:val="24"/>
          <w:szCs w:val="24"/>
          <w:lang w:val="uk-UA"/>
        </w:rPr>
        <w:t>простих</w:t>
      </w:r>
      <w:r w:rsidR="000D24C4" w:rsidRPr="00A645F3">
        <w:rPr>
          <w:rFonts w:ascii="Times New Roman" w:hAnsi="Times New Roman"/>
          <w:color w:val="auto"/>
          <w:sz w:val="24"/>
          <w:szCs w:val="24"/>
          <w:lang w:val="uk-UA"/>
        </w:rPr>
        <w:t xml:space="preserve"> агрегатів</w:t>
      </w:r>
      <w:r w:rsidR="0044295E" w:rsidRPr="00A645F3">
        <w:rPr>
          <w:rFonts w:ascii="Times New Roman" w:hAnsi="Times New Roman"/>
          <w:color w:val="auto"/>
          <w:sz w:val="24"/>
          <w:szCs w:val="24"/>
          <w:lang w:val="uk-UA"/>
        </w:rPr>
        <w:t xml:space="preserve">. Немає причини підозрювати, що це не робиться компетентно, але це залучає чимало перевірок якості регіональними відділеннями, які концентруються на використанні комп’ютерів для визначення викидів і також розглядає </w:t>
      </w:r>
      <w:r w:rsidR="001B3D7F" w:rsidRPr="00A645F3">
        <w:rPr>
          <w:rFonts w:ascii="Times New Roman" w:hAnsi="Times New Roman"/>
          <w:color w:val="auto"/>
          <w:sz w:val="24"/>
          <w:szCs w:val="24"/>
          <w:lang w:val="uk-UA"/>
        </w:rPr>
        <w:t>прості агрегати,</w:t>
      </w:r>
      <w:r w:rsidR="0044295E" w:rsidRPr="00A645F3">
        <w:rPr>
          <w:rFonts w:ascii="Times New Roman" w:hAnsi="Times New Roman"/>
          <w:color w:val="auto"/>
          <w:sz w:val="24"/>
          <w:szCs w:val="24"/>
          <w:lang w:val="uk-UA"/>
        </w:rPr>
        <w:t xml:space="preserve"> що розраховуються регіональними відділеннями, щоб побачити чи тенденції </w:t>
      </w:r>
      <w:r w:rsidR="001B3D7F" w:rsidRPr="00A645F3">
        <w:rPr>
          <w:rFonts w:ascii="Times New Roman" w:hAnsi="Times New Roman"/>
          <w:color w:val="auto"/>
          <w:sz w:val="24"/>
          <w:szCs w:val="24"/>
          <w:lang w:val="uk-UA"/>
        </w:rPr>
        <w:t>є</w:t>
      </w:r>
      <w:r w:rsidR="0044295E" w:rsidRPr="00A645F3">
        <w:rPr>
          <w:rFonts w:ascii="Times New Roman" w:hAnsi="Times New Roman"/>
          <w:color w:val="auto"/>
          <w:sz w:val="24"/>
          <w:szCs w:val="24"/>
          <w:lang w:val="uk-UA"/>
        </w:rPr>
        <w:t xml:space="preserve"> </w:t>
      </w:r>
      <w:r w:rsidR="001B3D7F" w:rsidRPr="00A645F3">
        <w:rPr>
          <w:rFonts w:ascii="Times New Roman" w:hAnsi="Times New Roman"/>
          <w:color w:val="auto"/>
          <w:sz w:val="24"/>
          <w:szCs w:val="24"/>
          <w:lang w:val="uk-UA"/>
        </w:rPr>
        <w:t>помітними</w:t>
      </w:r>
      <w:r w:rsidR="0044295E" w:rsidRPr="00A645F3">
        <w:rPr>
          <w:rFonts w:ascii="Times New Roman" w:hAnsi="Times New Roman"/>
          <w:color w:val="auto"/>
          <w:sz w:val="24"/>
          <w:szCs w:val="24"/>
          <w:lang w:val="uk-UA"/>
        </w:rPr>
        <w:t xml:space="preserve"> </w:t>
      </w:r>
      <w:r w:rsidR="001B3D7F" w:rsidRPr="00A645F3">
        <w:rPr>
          <w:rFonts w:ascii="Times New Roman" w:hAnsi="Times New Roman"/>
          <w:color w:val="auto"/>
          <w:sz w:val="24"/>
          <w:szCs w:val="24"/>
          <w:lang w:val="uk-UA"/>
        </w:rPr>
        <w:t>у</w:t>
      </w:r>
      <w:r w:rsidR="0044295E" w:rsidRPr="00A645F3">
        <w:rPr>
          <w:rFonts w:ascii="Times New Roman" w:hAnsi="Times New Roman"/>
          <w:color w:val="auto"/>
          <w:sz w:val="24"/>
          <w:szCs w:val="24"/>
          <w:lang w:val="uk-UA"/>
        </w:rPr>
        <w:t xml:space="preserve"> всіх регіонах. Гарний ІСЦ базується</w:t>
      </w:r>
      <w:r w:rsidR="0044295E">
        <w:rPr>
          <w:rFonts w:ascii="Times New Roman" w:hAnsi="Times New Roman"/>
          <w:sz w:val="24"/>
          <w:szCs w:val="24"/>
          <w:lang w:val="uk-UA"/>
        </w:rPr>
        <w:t xml:space="preserve"> на гарних даних</w:t>
      </w:r>
      <w:r w:rsidR="001B3D7F">
        <w:rPr>
          <w:rFonts w:ascii="Times New Roman" w:hAnsi="Times New Roman"/>
          <w:sz w:val="24"/>
          <w:szCs w:val="24"/>
          <w:lang w:val="uk-UA"/>
        </w:rPr>
        <w:t>. У цьому питанні важливо, щоб г</w:t>
      </w:r>
      <w:r w:rsidR="0044295E">
        <w:rPr>
          <w:rFonts w:ascii="Times New Roman" w:hAnsi="Times New Roman"/>
          <w:sz w:val="24"/>
          <w:szCs w:val="24"/>
          <w:lang w:val="uk-UA"/>
        </w:rPr>
        <w:t xml:space="preserve">оловний офіс зберігав міцні зв’язки з регіональними відділеннями </w:t>
      </w:r>
      <w:r w:rsidR="001B3D7F">
        <w:rPr>
          <w:rFonts w:ascii="Times New Roman" w:hAnsi="Times New Roman"/>
          <w:sz w:val="24"/>
          <w:szCs w:val="24"/>
          <w:lang w:val="uk-UA"/>
        </w:rPr>
        <w:t>через електронну пошту та відеоконференції</w:t>
      </w:r>
      <w:r w:rsidR="0044295E">
        <w:rPr>
          <w:rFonts w:ascii="Times New Roman" w:hAnsi="Times New Roman"/>
          <w:sz w:val="24"/>
          <w:szCs w:val="24"/>
          <w:lang w:val="uk-UA"/>
        </w:rPr>
        <w:t xml:space="preserve"> і щоб </w:t>
      </w:r>
      <w:r w:rsidR="001B3D7F">
        <w:rPr>
          <w:rFonts w:ascii="Times New Roman" w:hAnsi="Times New Roman"/>
          <w:sz w:val="24"/>
          <w:szCs w:val="24"/>
          <w:lang w:val="uk-UA"/>
        </w:rPr>
        <w:t>мав місце</w:t>
      </w:r>
      <w:r w:rsidR="0044295E">
        <w:rPr>
          <w:rFonts w:ascii="Times New Roman" w:hAnsi="Times New Roman"/>
          <w:sz w:val="24"/>
          <w:szCs w:val="24"/>
          <w:lang w:val="uk-UA"/>
        </w:rPr>
        <w:t xml:space="preserve"> ефективний двосторонній зв'язок для того, щоб головний офіс міг реагувати на будь-які проблематичні питання, з якими стикаються на місцях. У довгостроковій перспективі ДССУ має розглянути можливість використання ручних терміналів для зб</w:t>
      </w:r>
      <w:r w:rsidR="001B3D7F">
        <w:rPr>
          <w:rFonts w:ascii="Times New Roman" w:hAnsi="Times New Roman"/>
          <w:sz w:val="24"/>
          <w:szCs w:val="24"/>
          <w:lang w:val="uk-UA"/>
        </w:rPr>
        <w:t>ору</w:t>
      </w:r>
      <w:r w:rsidR="0044295E">
        <w:rPr>
          <w:rFonts w:ascii="Times New Roman" w:hAnsi="Times New Roman"/>
          <w:sz w:val="24"/>
          <w:szCs w:val="24"/>
          <w:lang w:val="uk-UA"/>
        </w:rPr>
        <w:t xml:space="preserve"> даних. Використання ручних терміналів для реєстрації цін має значні переваги над використанням паперу. Ручні термінали</w:t>
      </w:r>
      <w:r w:rsidR="001B3D7F">
        <w:rPr>
          <w:rFonts w:ascii="Times New Roman" w:hAnsi="Times New Roman"/>
          <w:sz w:val="24"/>
          <w:szCs w:val="24"/>
          <w:lang w:val="uk-UA"/>
        </w:rPr>
        <w:t>:</w:t>
      </w:r>
    </w:p>
    <w:p w:rsidR="0044295E" w:rsidRPr="0044295E" w:rsidRDefault="0044295E" w:rsidP="00E068BF">
      <w:pPr>
        <w:pStyle w:val="11"/>
        <w:numPr>
          <w:ilvl w:val="0"/>
          <w:numId w:val="39"/>
        </w:numPr>
        <w:tabs>
          <w:tab w:val="clear" w:pos="3061"/>
        </w:tabs>
        <w:spacing w:after="140"/>
        <w:rPr>
          <w:rFonts w:ascii="Times New Roman" w:hAnsi="Times New Roman"/>
          <w:sz w:val="24"/>
          <w:szCs w:val="24"/>
          <w:lang w:val="ru-RU"/>
        </w:rPr>
      </w:pPr>
      <w:r>
        <w:rPr>
          <w:rFonts w:ascii="Times New Roman" w:hAnsi="Times New Roman"/>
          <w:sz w:val="24"/>
          <w:szCs w:val="24"/>
          <w:lang w:val="uk-UA"/>
        </w:rPr>
        <w:t>Підвищують контроль якості в момент внесення даних (редагування в режимі реального часу).</w:t>
      </w:r>
    </w:p>
    <w:p w:rsidR="0044295E" w:rsidRPr="0044295E" w:rsidRDefault="0044295E" w:rsidP="00E068BF">
      <w:pPr>
        <w:pStyle w:val="11"/>
        <w:numPr>
          <w:ilvl w:val="0"/>
          <w:numId w:val="39"/>
        </w:numPr>
        <w:tabs>
          <w:tab w:val="clear" w:pos="3061"/>
        </w:tabs>
        <w:spacing w:after="140"/>
        <w:rPr>
          <w:rFonts w:ascii="Times New Roman" w:hAnsi="Times New Roman"/>
          <w:sz w:val="24"/>
          <w:szCs w:val="24"/>
          <w:lang w:val="ru-RU"/>
        </w:rPr>
      </w:pPr>
      <w:r>
        <w:rPr>
          <w:rFonts w:ascii="Times New Roman" w:hAnsi="Times New Roman"/>
          <w:sz w:val="24"/>
          <w:szCs w:val="24"/>
          <w:lang w:val="uk-UA"/>
        </w:rPr>
        <w:t xml:space="preserve">Допомагають визначити аномалії та впевнитися, що внесені ціни є правильними. </w:t>
      </w:r>
    </w:p>
    <w:p w:rsidR="00D94656" w:rsidRPr="0044295E" w:rsidRDefault="0044295E" w:rsidP="00E068BF">
      <w:pPr>
        <w:pStyle w:val="11"/>
        <w:numPr>
          <w:ilvl w:val="0"/>
          <w:numId w:val="39"/>
        </w:numPr>
        <w:tabs>
          <w:tab w:val="clear" w:pos="3061"/>
        </w:tabs>
        <w:spacing w:after="140"/>
        <w:rPr>
          <w:rFonts w:ascii="Times New Roman" w:hAnsi="Times New Roman"/>
          <w:sz w:val="24"/>
          <w:szCs w:val="24"/>
          <w:lang w:val="uk-UA"/>
        </w:rPr>
      </w:pPr>
      <w:r w:rsidRPr="0044295E">
        <w:rPr>
          <w:rFonts w:ascii="Times New Roman" w:hAnsi="Times New Roman"/>
          <w:sz w:val="24"/>
          <w:szCs w:val="24"/>
          <w:lang w:val="uk-UA"/>
        </w:rPr>
        <w:t xml:space="preserve">Підвищити швидкість та своєчасність ІСЦ. </w:t>
      </w:r>
    </w:p>
    <w:p w:rsidR="00D94656" w:rsidRPr="0044295E" w:rsidRDefault="0044295E" w:rsidP="00E068BF">
      <w:pPr>
        <w:pStyle w:val="11"/>
        <w:numPr>
          <w:ilvl w:val="0"/>
          <w:numId w:val="39"/>
        </w:numPr>
        <w:tabs>
          <w:tab w:val="clear" w:pos="3061"/>
        </w:tabs>
        <w:spacing w:after="140"/>
        <w:rPr>
          <w:rFonts w:ascii="Times New Roman" w:hAnsi="Times New Roman"/>
          <w:sz w:val="24"/>
          <w:szCs w:val="24"/>
          <w:lang w:val="uk-UA"/>
        </w:rPr>
      </w:pPr>
      <w:r w:rsidRPr="0044295E">
        <w:rPr>
          <w:rFonts w:ascii="Times New Roman" w:hAnsi="Times New Roman"/>
          <w:sz w:val="24"/>
          <w:szCs w:val="24"/>
          <w:lang w:val="uk-UA"/>
        </w:rPr>
        <w:t xml:space="preserve">Є більш ефективним, кращим використанням ресурсів. </w:t>
      </w:r>
    </w:p>
    <w:p w:rsidR="00D94656" w:rsidRPr="0044295E" w:rsidRDefault="0044295E" w:rsidP="00E068BF">
      <w:pPr>
        <w:pStyle w:val="11"/>
        <w:numPr>
          <w:ilvl w:val="0"/>
          <w:numId w:val="39"/>
        </w:numPr>
        <w:tabs>
          <w:tab w:val="clear" w:pos="3061"/>
        </w:tabs>
        <w:spacing w:after="140"/>
        <w:rPr>
          <w:rFonts w:ascii="Times New Roman" w:hAnsi="Times New Roman"/>
          <w:sz w:val="24"/>
          <w:szCs w:val="24"/>
          <w:lang w:val="uk-UA"/>
        </w:rPr>
      </w:pPr>
      <w:r w:rsidRPr="0044295E">
        <w:rPr>
          <w:rFonts w:ascii="Times New Roman" w:hAnsi="Times New Roman"/>
          <w:sz w:val="24"/>
          <w:szCs w:val="24"/>
          <w:lang w:val="uk-UA"/>
        </w:rPr>
        <w:t xml:space="preserve">Виключають помилки розшифрування. </w:t>
      </w:r>
    </w:p>
    <w:p w:rsidR="00FA0C9F" w:rsidRDefault="00FA0C9F" w:rsidP="00D94656">
      <w:pPr>
        <w:pStyle w:val="11"/>
        <w:tabs>
          <w:tab w:val="clear" w:pos="3061"/>
        </w:tabs>
        <w:spacing w:after="140" w:line="240" w:lineRule="auto"/>
        <w:ind w:left="708"/>
        <w:rPr>
          <w:rFonts w:ascii="Times New Roman" w:hAnsi="Times New Roman"/>
          <w:sz w:val="24"/>
          <w:szCs w:val="24"/>
          <w:lang w:val="uk-UA"/>
        </w:rPr>
      </w:pPr>
      <w:r>
        <w:rPr>
          <w:rFonts w:ascii="Times New Roman" w:hAnsi="Times New Roman"/>
          <w:sz w:val="24"/>
          <w:szCs w:val="24"/>
          <w:lang w:val="uk-UA"/>
        </w:rPr>
        <w:t xml:space="preserve">Ручні термінали </w:t>
      </w:r>
      <w:r w:rsidR="00F42209">
        <w:rPr>
          <w:rFonts w:ascii="Times New Roman" w:hAnsi="Times New Roman"/>
          <w:sz w:val="24"/>
          <w:szCs w:val="24"/>
          <w:lang w:val="uk-UA"/>
        </w:rPr>
        <w:t>успішно запровадили</w:t>
      </w:r>
      <w:r>
        <w:rPr>
          <w:rFonts w:ascii="Times New Roman" w:hAnsi="Times New Roman"/>
          <w:sz w:val="24"/>
          <w:szCs w:val="24"/>
          <w:lang w:val="uk-UA"/>
        </w:rPr>
        <w:t xml:space="preserve"> в низці країн. </w:t>
      </w:r>
      <w:r w:rsidR="001B3D7F">
        <w:rPr>
          <w:rFonts w:ascii="Times New Roman" w:hAnsi="Times New Roman"/>
          <w:sz w:val="24"/>
          <w:szCs w:val="24"/>
          <w:lang w:val="uk-UA"/>
        </w:rPr>
        <w:t>Початкова вартість у рази</w:t>
      </w:r>
      <w:r w:rsidR="00F42209">
        <w:rPr>
          <w:rFonts w:ascii="Times New Roman" w:hAnsi="Times New Roman"/>
          <w:sz w:val="24"/>
          <w:szCs w:val="24"/>
          <w:lang w:val="uk-UA"/>
        </w:rPr>
        <w:t xml:space="preserve"> компенсується потенційними надбаннями в ефективності та кращій якості ІСЦ.</w:t>
      </w:r>
    </w:p>
    <w:p w:rsidR="00F42209" w:rsidRPr="00F42209" w:rsidRDefault="00F42209" w:rsidP="007234D4">
      <w:pPr>
        <w:numPr>
          <w:ilvl w:val="0"/>
          <w:numId w:val="28"/>
        </w:numPr>
        <w:spacing w:before="120" w:after="120"/>
        <w:jc w:val="both"/>
        <w:rPr>
          <w:lang w:val="uk-UA"/>
        </w:rPr>
      </w:pPr>
      <w:r>
        <w:rPr>
          <w:lang w:val="uk-UA"/>
        </w:rPr>
        <w:t>Щомісячний ІСЦ публікується на 6-й день місяця після польових робіт, але публікується в попередню п’ятницю, якщо це субота, або в наступний понеділок, якщо це неділя. Час дня залежить від того, коли індекс готовий для публікації. Користув</w:t>
      </w:r>
      <w:r w:rsidR="001B3D7F">
        <w:rPr>
          <w:lang w:val="uk-UA"/>
        </w:rPr>
        <w:t>ачі змушені очікувати інформацію</w:t>
      </w:r>
      <w:r>
        <w:rPr>
          <w:lang w:val="uk-UA"/>
        </w:rPr>
        <w:t xml:space="preserve"> на веб-сайті або телефонувати. Це може здаватися невеликою проблемою, але це може поставити ДССУ в ситуацію, коли може скластися враження, що публікація інколи затримується за розпорядженням чинного уряду. Це не відповідає кращим практикам. Наприклад, потрібно докласти зусиль, щоб пересунути стандартний час дня для оприлюднення, але тим часом слід розглянути можливість надсилання повідомлення електронною поштою основним користувачам, коли </w:t>
      </w:r>
      <w:r w:rsidR="001B3D7F">
        <w:rPr>
          <w:lang w:val="uk-UA"/>
        </w:rPr>
        <w:t>дані</w:t>
      </w:r>
      <w:r>
        <w:rPr>
          <w:lang w:val="uk-UA"/>
        </w:rPr>
        <w:t xml:space="preserve"> завантажено на сайт. </w:t>
      </w:r>
    </w:p>
    <w:p w:rsidR="00FC58B9" w:rsidRDefault="00F42209" w:rsidP="00FC58B9">
      <w:pPr>
        <w:numPr>
          <w:ilvl w:val="0"/>
          <w:numId w:val="28"/>
        </w:numPr>
        <w:spacing w:before="120" w:after="120"/>
        <w:jc w:val="both"/>
        <w:rPr>
          <w:lang w:val="uk-UA"/>
        </w:rPr>
      </w:pPr>
      <w:r>
        <w:rPr>
          <w:lang w:val="uk-UA"/>
        </w:rPr>
        <w:t>Щомісячн</w:t>
      </w:r>
      <w:r w:rsidR="001B3D7F">
        <w:rPr>
          <w:lang w:val="uk-UA"/>
        </w:rPr>
        <w:t>е повідомлення для преси буде під</w:t>
      </w:r>
      <w:r>
        <w:rPr>
          <w:lang w:val="uk-UA"/>
        </w:rPr>
        <w:t>силено включенням розрахунків, що стосуються «внесків у зміни в річний рівень інфляції». Це потужний аналітичний інструмент у розумінні інфляції (Посібник ООН, параграф 14.60). Повідомлення для преси також має надавати заздалегідь попередження про методологічні зміни та перебазування місяця до тог</w:t>
      </w:r>
      <w:r w:rsidR="001B3D7F">
        <w:rPr>
          <w:lang w:val="uk-UA"/>
        </w:rPr>
        <w:t>о, як вони набирають чинності. Якщо говорити б</w:t>
      </w:r>
      <w:r>
        <w:rPr>
          <w:lang w:val="uk-UA"/>
        </w:rPr>
        <w:t xml:space="preserve">ільш загально, ДССУ має також переглядати метадані на своєму веб-сайті, щоб </w:t>
      </w:r>
      <w:r w:rsidRPr="00A645F3">
        <w:rPr>
          <w:lang w:val="uk-UA"/>
        </w:rPr>
        <w:t>упевнитися, що він повністю включає все потрібне і надає користувачам усю необхідну до</w:t>
      </w:r>
      <w:r w:rsidR="001B3D7F" w:rsidRPr="00A645F3">
        <w:rPr>
          <w:lang w:val="uk-UA"/>
        </w:rPr>
        <w:t>відкову</w:t>
      </w:r>
      <w:r>
        <w:rPr>
          <w:lang w:val="uk-UA"/>
        </w:rPr>
        <w:t xml:space="preserve"> інформацію. </w:t>
      </w:r>
    </w:p>
    <w:p w:rsidR="00346212" w:rsidRPr="001B3D7F" w:rsidRDefault="00346212" w:rsidP="00FC58B9">
      <w:pPr>
        <w:spacing w:before="120" w:after="120"/>
        <w:jc w:val="both"/>
        <w:rPr>
          <w:lang w:val="uk-UA"/>
        </w:rPr>
      </w:pPr>
    </w:p>
    <w:p w:rsidR="00FC58B9" w:rsidRPr="00346212" w:rsidRDefault="00346212" w:rsidP="00FC58B9">
      <w:pPr>
        <w:spacing w:before="120" w:after="120"/>
        <w:jc w:val="both"/>
        <w:rPr>
          <w:b/>
          <w:u w:val="single"/>
          <w:lang w:val="ru-RU"/>
        </w:rPr>
      </w:pPr>
      <w:r>
        <w:rPr>
          <w:b/>
          <w:u w:val="single"/>
          <w:lang w:val="ru-RU"/>
        </w:rPr>
        <w:t>Вибірка</w:t>
      </w:r>
      <w:r w:rsidRPr="00346212">
        <w:rPr>
          <w:b/>
          <w:u w:val="single"/>
          <w:lang w:val="ru-RU"/>
        </w:rPr>
        <w:t xml:space="preserve"> </w:t>
      </w:r>
      <w:r>
        <w:rPr>
          <w:b/>
          <w:u w:val="single"/>
          <w:lang w:val="ru-RU"/>
        </w:rPr>
        <w:t>міських</w:t>
      </w:r>
      <w:r w:rsidRPr="00346212">
        <w:rPr>
          <w:b/>
          <w:u w:val="single"/>
          <w:lang w:val="ru-RU"/>
        </w:rPr>
        <w:t xml:space="preserve"> </w:t>
      </w:r>
      <w:r>
        <w:rPr>
          <w:b/>
          <w:u w:val="single"/>
          <w:lang w:val="ru-RU"/>
        </w:rPr>
        <w:t>територій</w:t>
      </w:r>
      <w:r w:rsidRPr="00346212">
        <w:rPr>
          <w:b/>
          <w:u w:val="single"/>
          <w:lang w:val="ru-RU"/>
        </w:rPr>
        <w:t xml:space="preserve"> </w:t>
      </w:r>
      <w:r>
        <w:rPr>
          <w:b/>
          <w:u w:val="single"/>
          <w:lang w:val="ru-RU"/>
        </w:rPr>
        <w:t>для</w:t>
      </w:r>
      <w:r w:rsidRPr="00346212">
        <w:rPr>
          <w:b/>
          <w:u w:val="single"/>
          <w:lang w:val="ru-RU"/>
        </w:rPr>
        <w:t xml:space="preserve"> </w:t>
      </w:r>
      <w:r>
        <w:rPr>
          <w:b/>
          <w:u w:val="single"/>
          <w:lang w:val="ru-RU"/>
        </w:rPr>
        <w:t xml:space="preserve">ІСЦ: плани на зменьшення розміру вибірки </w:t>
      </w:r>
      <w:r w:rsidRPr="00346212">
        <w:rPr>
          <w:b/>
          <w:u w:val="single"/>
          <w:lang w:val="ru-RU"/>
        </w:rPr>
        <w:t xml:space="preserve"> </w:t>
      </w:r>
    </w:p>
    <w:p w:rsidR="00451D5B" w:rsidRDefault="00451D5B" w:rsidP="00E80A59">
      <w:pPr>
        <w:spacing w:before="120" w:after="120"/>
        <w:jc w:val="both"/>
        <w:rPr>
          <w:lang w:val="uk-UA"/>
        </w:rPr>
      </w:pPr>
      <w:r>
        <w:rPr>
          <w:lang w:val="uk-UA"/>
        </w:rPr>
        <w:t>Було надано поради щодо того, як ДССУ може запровадити план скоро</w:t>
      </w:r>
      <w:r w:rsidR="001B3D7F">
        <w:rPr>
          <w:lang w:val="uk-UA"/>
        </w:rPr>
        <w:t>чення кількості</w:t>
      </w:r>
      <w:r>
        <w:rPr>
          <w:lang w:val="uk-UA"/>
        </w:rPr>
        <w:t xml:space="preserve"> міст для реєстрації цін в рамках прагнень зменшення вартості. Також деякі з менших міст продукують менше цін, оскільки товари, ціни яких мають реєструватися, часто не є в наявності. Теперішні ціни реєструються у 139 з загальної кіл</w:t>
      </w:r>
      <w:r w:rsidR="009A7DCB">
        <w:rPr>
          <w:lang w:val="uk-UA"/>
        </w:rPr>
        <w:t>ькості 450 міст. Міста визначено</w:t>
      </w:r>
      <w:r>
        <w:rPr>
          <w:lang w:val="uk-UA"/>
        </w:rPr>
        <w:t xml:space="preserve"> законодавством і не є повністю статистичною концепцією. В кожному регіоні ДССУ роз</w:t>
      </w:r>
      <w:r w:rsidR="009A7DCB">
        <w:rPr>
          <w:lang w:val="uk-UA"/>
        </w:rPr>
        <w:t>поділяє</w:t>
      </w:r>
      <w:r>
        <w:rPr>
          <w:lang w:val="uk-UA"/>
        </w:rPr>
        <w:t xml:space="preserve"> міста в чотири страти в залежності від населення: більше 100 000; 50 000 – 99 999; 25 000 – 49 999; 7 700 – 24 999.</w:t>
      </w:r>
    </w:p>
    <w:p w:rsidR="00CE511C" w:rsidRPr="00CE511C" w:rsidRDefault="00CE511C" w:rsidP="00E80A59">
      <w:pPr>
        <w:spacing w:before="120" w:after="120"/>
        <w:jc w:val="both"/>
        <w:rPr>
          <w:lang w:val="uk-UA"/>
        </w:rPr>
      </w:pPr>
      <w:r>
        <w:rPr>
          <w:lang w:val="uk-UA"/>
        </w:rPr>
        <w:t xml:space="preserve">Було узгоджено, що має бути пропорційне зменшення кількості міст в кожному регіоні і що міста слід обирати з використанням </w:t>
      </w:r>
      <w:r w:rsidRPr="009A7DCB">
        <w:rPr>
          <w:lang w:val="uk-UA"/>
        </w:rPr>
        <w:t xml:space="preserve">ймовірності, пропорційної </w:t>
      </w:r>
      <w:r w:rsidR="009A7DCB">
        <w:rPr>
          <w:lang w:val="uk-UA"/>
        </w:rPr>
        <w:t xml:space="preserve">до </w:t>
      </w:r>
      <w:r w:rsidRPr="009A7DCB">
        <w:rPr>
          <w:lang w:val="uk-UA"/>
        </w:rPr>
        <w:t>розміру</w:t>
      </w:r>
      <w:r>
        <w:rPr>
          <w:lang w:val="uk-UA"/>
        </w:rPr>
        <w:t xml:space="preserve"> (</w:t>
      </w:r>
      <w:r w:rsidR="009A7DCB">
        <w:rPr>
          <w:lang w:val="uk-UA"/>
        </w:rPr>
        <w:t>ймовірнісна вибірка, пропорційна до розміру</w:t>
      </w:r>
      <w:r>
        <w:rPr>
          <w:lang w:val="uk-UA"/>
        </w:rPr>
        <w:t xml:space="preserve">), використовуючи роздрібний товарообіг. Зрозуміло, що </w:t>
      </w:r>
      <w:r w:rsidR="009A7DCB">
        <w:rPr>
          <w:lang w:val="uk-UA"/>
        </w:rPr>
        <w:t xml:space="preserve">дані про </w:t>
      </w:r>
      <w:r>
        <w:rPr>
          <w:lang w:val="uk-UA"/>
        </w:rPr>
        <w:t xml:space="preserve">останній можна взяти з відомостей про продажі роздрібної торгівлі. </w:t>
      </w:r>
      <w:r w:rsidR="009A7DCB">
        <w:rPr>
          <w:lang w:val="uk-UA"/>
        </w:rPr>
        <w:t>Ймовірнісна вибірка, пропорційна до розміру,</w:t>
      </w:r>
      <w:r>
        <w:rPr>
          <w:lang w:val="uk-UA"/>
        </w:rPr>
        <w:t xml:space="preserve"> також може </w:t>
      </w:r>
      <w:r w:rsidR="00200CFF">
        <w:rPr>
          <w:lang w:val="uk-UA"/>
        </w:rPr>
        <w:t>використовуватися у поєднанні з</w:t>
      </w:r>
      <w:r w:rsidRPr="00CE511C">
        <w:rPr>
          <w:color w:val="FF0000"/>
          <w:lang w:val="uk-UA"/>
        </w:rPr>
        <w:t xml:space="preserve"> </w:t>
      </w:r>
      <w:r>
        <w:rPr>
          <w:lang w:val="uk-UA"/>
        </w:rPr>
        <w:t>вибіркою</w:t>
      </w:r>
      <w:r w:rsidR="00200CFF">
        <w:rPr>
          <w:lang w:val="uk-UA"/>
        </w:rPr>
        <w:t xml:space="preserve"> </w:t>
      </w:r>
      <w:r w:rsidR="009A7DCB">
        <w:rPr>
          <w:lang w:val="uk-UA"/>
        </w:rPr>
        <w:t>методом</w:t>
      </w:r>
      <w:r w:rsidR="00200CFF">
        <w:rPr>
          <w:lang w:val="uk-UA"/>
        </w:rPr>
        <w:t xml:space="preserve"> відсікання</w:t>
      </w:r>
      <w:r>
        <w:rPr>
          <w:lang w:val="uk-UA"/>
        </w:rPr>
        <w:t>, інформація для якої береться з повідомлень на місцях щодо кількості одиниць корзини ІСЦ, ціни для яких можна зареєс</w:t>
      </w:r>
      <w:r w:rsidR="009A7DCB">
        <w:rPr>
          <w:lang w:val="uk-UA"/>
        </w:rPr>
        <w:t>трувати в</w:t>
      </w:r>
      <w:r>
        <w:rPr>
          <w:lang w:val="uk-UA"/>
        </w:rPr>
        <w:t xml:space="preserve"> менших містах. </w:t>
      </w:r>
    </w:p>
    <w:p w:rsidR="00CE511C" w:rsidRDefault="00CE511C" w:rsidP="0014324C">
      <w:pPr>
        <w:pStyle w:val="11"/>
        <w:tabs>
          <w:tab w:val="clear" w:pos="3061"/>
        </w:tabs>
        <w:spacing w:before="120" w:after="120" w:line="240" w:lineRule="auto"/>
        <w:ind w:left="0"/>
        <w:rPr>
          <w:rFonts w:ascii="Times New Roman" w:hAnsi="Times New Roman"/>
          <w:sz w:val="24"/>
          <w:szCs w:val="24"/>
          <w:lang w:val="uk-UA"/>
        </w:rPr>
      </w:pPr>
      <w:r>
        <w:rPr>
          <w:rFonts w:ascii="Times New Roman" w:hAnsi="Times New Roman"/>
          <w:sz w:val="24"/>
          <w:szCs w:val="24"/>
          <w:lang w:val="uk-UA"/>
        </w:rPr>
        <w:t>Для великих країн, таких як Україна, вибірка на основі місця розташування, повинна проводитися окремо в кожному регіоні країни для того, щоб вибір місця розташування був репрезентативним для всіє</w:t>
      </w:r>
      <w:r w:rsidR="009A7DCB">
        <w:rPr>
          <w:rFonts w:ascii="Times New Roman" w:hAnsi="Times New Roman"/>
          <w:sz w:val="24"/>
          <w:szCs w:val="24"/>
          <w:lang w:val="uk-UA"/>
        </w:rPr>
        <w:t>ї</w:t>
      </w:r>
      <w:r>
        <w:rPr>
          <w:rFonts w:ascii="Times New Roman" w:hAnsi="Times New Roman"/>
          <w:sz w:val="24"/>
          <w:szCs w:val="24"/>
          <w:lang w:val="uk-UA"/>
        </w:rPr>
        <w:t xml:space="preserve"> країни. Вибірка на основі місця роз</w:t>
      </w:r>
      <w:r w:rsidR="009A7DCB">
        <w:rPr>
          <w:rFonts w:ascii="Times New Roman" w:hAnsi="Times New Roman"/>
          <w:sz w:val="24"/>
          <w:szCs w:val="24"/>
          <w:lang w:val="uk-UA"/>
        </w:rPr>
        <w:t>ташування</w:t>
      </w:r>
      <w:r>
        <w:rPr>
          <w:rFonts w:ascii="Times New Roman" w:hAnsi="Times New Roman"/>
          <w:sz w:val="24"/>
          <w:szCs w:val="24"/>
          <w:lang w:val="uk-UA"/>
        </w:rPr>
        <w:t xml:space="preserve"> може проводитися, окремо в кожному регіоні, з використанням </w:t>
      </w:r>
      <w:r w:rsidR="009A7DCB">
        <w:rPr>
          <w:rFonts w:ascii="Times New Roman" w:hAnsi="Times New Roman"/>
          <w:sz w:val="24"/>
          <w:szCs w:val="24"/>
          <w:lang w:val="uk-UA"/>
        </w:rPr>
        <w:t xml:space="preserve">ймовірнісної </w:t>
      </w:r>
      <w:r>
        <w:rPr>
          <w:rFonts w:ascii="Times New Roman" w:hAnsi="Times New Roman"/>
          <w:sz w:val="24"/>
          <w:szCs w:val="24"/>
          <w:lang w:val="uk-UA"/>
        </w:rPr>
        <w:t xml:space="preserve">вибірки </w:t>
      </w:r>
      <w:r w:rsidRPr="009A7DCB">
        <w:rPr>
          <w:rFonts w:ascii="Times New Roman" w:hAnsi="Times New Roman"/>
          <w:color w:val="auto"/>
          <w:sz w:val="24"/>
          <w:szCs w:val="24"/>
          <w:lang w:val="uk-UA"/>
        </w:rPr>
        <w:t xml:space="preserve">пропорційної до розміру, де вимірювання розміру </w:t>
      </w:r>
      <w:r w:rsidR="009A7DCB">
        <w:rPr>
          <w:rFonts w:ascii="Times New Roman" w:hAnsi="Times New Roman"/>
          <w:color w:val="auto"/>
          <w:sz w:val="24"/>
          <w:szCs w:val="24"/>
          <w:lang w:val="uk-UA"/>
        </w:rPr>
        <w:t xml:space="preserve">(обсягу) </w:t>
      </w:r>
      <w:r w:rsidRPr="009A7DCB">
        <w:rPr>
          <w:rFonts w:ascii="Times New Roman" w:hAnsi="Times New Roman"/>
          <w:color w:val="auto"/>
          <w:sz w:val="24"/>
          <w:szCs w:val="24"/>
          <w:lang w:val="uk-UA"/>
        </w:rPr>
        <w:t>стосується товарообігу роздрібної торгівлі. Кількість місць розташування</w:t>
      </w:r>
      <w:r>
        <w:rPr>
          <w:rFonts w:ascii="Times New Roman" w:hAnsi="Times New Roman"/>
          <w:sz w:val="24"/>
          <w:szCs w:val="24"/>
          <w:lang w:val="uk-UA"/>
        </w:rPr>
        <w:t xml:space="preserve"> в кожному регіоні можна визначити як пропорції національних витрат в цьому регіоні, помножену на загальну кількість місць розташування, які слід відвідати по всій країні (або в даному випадку шляхом зменшення пропорційно кількості міст, обраних у кожному регіоні).  </w:t>
      </w:r>
    </w:p>
    <w:p w:rsidR="00CE511C" w:rsidRPr="00CE511C" w:rsidRDefault="009A7DCB" w:rsidP="0014324C">
      <w:pPr>
        <w:pStyle w:val="11"/>
        <w:spacing w:after="140"/>
        <w:ind w:left="0"/>
        <w:rPr>
          <w:rFonts w:ascii="Times New Roman" w:hAnsi="Times New Roman"/>
          <w:color w:val="auto"/>
          <w:sz w:val="24"/>
          <w:szCs w:val="24"/>
          <w:lang w:val="uk-UA"/>
        </w:rPr>
      </w:pPr>
      <w:r>
        <w:rPr>
          <w:rFonts w:ascii="Times New Roman" w:hAnsi="Times New Roman"/>
          <w:sz w:val="24"/>
          <w:szCs w:val="24"/>
          <w:lang w:val="uk-UA"/>
        </w:rPr>
        <w:t>Ймовірнісна вибірка, пропорційна до розміру,</w:t>
      </w:r>
      <w:r w:rsidR="00CE511C">
        <w:rPr>
          <w:rFonts w:ascii="Times New Roman" w:hAnsi="Times New Roman"/>
          <w:color w:val="auto"/>
          <w:sz w:val="24"/>
          <w:szCs w:val="24"/>
          <w:lang w:val="uk-UA"/>
        </w:rPr>
        <w:t xml:space="preserve"> в середині регіону </w:t>
      </w:r>
      <w:r>
        <w:rPr>
          <w:rFonts w:ascii="Times New Roman" w:hAnsi="Times New Roman"/>
          <w:color w:val="auto"/>
          <w:sz w:val="24"/>
          <w:szCs w:val="24"/>
          <w:lang w:val="uk-UA"/>
        </w:rPr>
        <w:t>складається</w:t>
      </w:r>
      <w:r w:rsidR="00CE511C">
        <w:rPr>
          <w:rFonts w:ascii="Times New Roman" w:hAnsi="Times New Roman"/>
          <w:color w:val="auto"/>
          <w:sz w:val="24"/>
          <w:szCs w:val="24"/>
          <w:lang w:val="uk-UA"/>
        </w:rPr>
        <w:t xml:space="preserve"> наступним чином. Першою стадією є призначити </w:t>
      </w:r>
      <w:r>
        <w:rPr>
          <w:rFonts w:ascii="Times New Roman" w:hAnsi="Times New Roman"/>
          <w:color w:val="auto"/>
          <w:sz w:val="24"/>
          <w:szCs w:val="24"/>
          <w:lang w:val="uk-UA"/>
        </w:rPr>
        <w:t>місця</w:t>
      </w:r>
      <w:r w:rsidR="00621866">
        <w:rPr>
          <w:rFonts w:ascii="Times New Roman" w:hAnsi="Times New Roman"/>
          <w:color w:val="auto"/>
          <w:sz w:val="24"/>
          <w:szCs w:val="24"/>
          <w:lang w:val="uk-UA"/>
        </w:rPr>
        <w:t xml:space="preserve"> розташування для основи вибірки випадковим чином і розрахувати загальну суму товарообігу роздрібної торгівлі, ви</w:t>
      </w:r>
      <w:r>
        <w:rPr>
          <w:rFonts w:ascii="Times New Roman" w:hAnsi="Times New Roman"/>
          <w:color w:val="auto"/>
          <w:sz w:val="24"/>
          <w:szCs w:val="24"/>
          <w:lang w:val="uk-UA"/>
        </w:rPr>
        <w:t>значивши</w:t>
      </w:r>
      <w:r w:rsidR="00621866">
        <w:rPr>
          <w:rFonts w:ascii="Times New Roman" w:hAnsi="Times New Roman"/>
          <w:color w:val="auto"/>
          <w:sz w:val="24"/>
          <w:szCs w:val="24"/>
          <w:lang w:val="uk-UA"/>
        </w:rPr>
        <w:t xml:space="preserve"> </w:t>
      </w:r>
      <w:r>
        <w:rPr>
          <w:rFonts w:ascii="Times New Roman" w:hAnsi="Times New Roman"/>
          <w:color w:val="auto"/>
          <w:sz w:val="24"/>
          <w:szCs w:val="24"/>
          <w:lang w:val="uk-UA"/>
        </w:rPr>
        <w:t xml:space="preserve">діапазон </w:t>
      </w:r>
      <w:r w:rsidR="00621866">
        <w:rPr>
          <w:rFonts w:ascii="Times New Roman" w:hAnsi="Times New Roman"/>
          <w:color w:val="auto"/>
          <w:sz w:val="24"/>
          <w:szCs w:val="24"/>
          <w:lang w:val="uk-UA"/>
        </w:rPr>
        <w:t xml:space="preserve">товарообігу роздрібної торгівлі в кожному місці розташування. Обрання місць розташування потім відбувається з використанням інтервальної вибірки, де інтервал розраховується шляхом поділу </w:t>
      </w:r>
      <w:r>
        <w:rPr>
          <w:rFonts w:ascii="Times New Roman" w:hAnsi="Times New Roman"/>
          <w:color w:val="auto"/>
          <w:sz w:val="24"/>
          <w:szCs w:val="24"/>
          <w:lang w:val="uk-UA"/>
        </w:rPr>
        <w:t xml:space="preserve">кумулятивної суми товарообігу </w:t>
      </w:r>
      <w:r w:rsidR="00621866">
        <w:rPr>
          <w:rFonts w:ascii="Times New Roman" w:hAnsi="Times New Roman"/>
          <w:color w:val="auto"/>
          <w:sz w:val="24"/>
          <w:szCs w:val="24"/>
          <w:lang w:val="uk-UA"/>
        </w:rPr>
        <w:t xml:space="preserve">на кількість місць розташування, які мають бути у вибірці. Слід проводити перевірки, щоб упевнитися в тому, що властивості </w:t>
      </w:r>
      <w:r>
        <w:rPr>
          <w:rFonts w:ascii="Times New Roman" w:hAnsi="Times New Roman"/>
          <w:color w:val="auto"/>
          <w:sz w:val="24"/>
          <w:szCs w:val="24"/>
          <w:lang w:val="uk-UA"/>
        </w:rPr>
        <w:t xml:space="preserve">ймовірнісної </w:t>
      </w:r>
      <w:r w:rsidR="00621866">
        <w:rPr>
          <w:rFonts w:ascii="Times New Roman" w:hAnsi="Times New Roman"/>
          <w:color w:val="auto"/>
          <w:sz w:val="24"/>
          <w:szCs w:val="24"/>
          <w:lang w:val="uk-UA"/>
        </w:rPr>
        <w:t xml:space="preserve">вибірки, </w:t>
      </w:r>
      <w:r>
        <w:rPr>
          <w:rFonts w:ascii="Times New Roman" w:hAnsi="Times New Roman"/>
          <w:color w:val="auto"/>
          <w:sz w:val="24"/>
          <w:szCs w:val="24"/>
          <w:lang w:val="uk-UA"/>
        </w:rPr>
        <w:t>пропорційної до розміру, зокрема</w:t>
      </w:r>
      <w:r w:rsidR="00621866">
        <w:rPr>
          <w:rFonts w:ascii="Times New Roman" w:hAnsi="Times New Roman"/>
          <w:color w:val="auto"/>
          <w:sz w:val="24"/>
          <w:szCs w:val="24"/>
          <w:lang w:val="uk-UA"/>
        </w:rPr>
        <w:t xml:space="preserve">, </w:t>
      </w:r>
      <w:r>
        <w:rPr>
          <w:rFonts w:ascii="Times New Roman" w:hAnsi="Times New Roman"/>
          <w:color w:val="auto"/>
          <w:sz w:val="24"/>
          <w:szCs w:val="24"/>
          <w:lang w:val="uk-UA"/>
        </w:rPr>
        <w:t xml:space="preserve">дозволяють </w:t>
      </w:r>
      <w:r w:rsidR="00621866">
        <w:rPr>
          <w:rFonts w:ascii="Times New Roman" w:hAnsi="Times New Roman"/>
          <w:color w:val="auto"/>
          <w:sz w:val="24"/>
          <w:szCs w:val="24"/>
          <w:lang w:val="uk-UA"/>
        </w:rPr>
        <w:t xml:space="preserve">у випадках, коли місце розташування має більший товарообіг, ніж величина інтервалу, </w:t>
      </w:r>
      <w:r>
        <w:rPr>
          <w:rFonts w:ascii="Times New Roman" w:hAnsi="Times New Roman"/>
          <w:color w:val="auto"/>
          <w:sz w:val="24"/>
          <w:szCs w:val="24"/>
          <w:lang w:val="uk-UA"/>
        </w:rPr>
        <w:t xml:space="preserve">обирати </w:t>
      </w:r>
      <w:r w:rsidR="00621866">
        <w:rPr>
          <w:rFonts w:ascii="Times New Roman" w:hAnsi="Times New Roman"/>
          <w:color w:val="auto"/>
          <w:sz w:val="24"/>
          <w:szCs w:val="24"/>
          <w:lang w:val="uk-UA"/>
        </w:rPr>
        <w:t>місце розташування</w:t>
      </w:r>
      <w:r>
        <w:rPr>
          <w:rFonts w:ascii="Times New Roman" w:hAnsi="Times New Roman"/>
          <w:color w:val="auto"/>
          <w:sz w:val="24"/>
          <w:szCs w:val="24"/>
          <w:lang w:val="uk-UA"/>
        </w:rPr>
        <w:t xml:space="preserve"> </w:t>
      </w:r>
      <w:r w:rsidR="00621866">
        <w:rPr>
          <w:rFonts w:ascii="Times New Roman" w:hAnsi="Times New Roman"/>
          <w:color w:val="auto"/>
          <w:sz w:val="24"/>
          <w:szCs w:val="24"/>
          <w:lang w:val="uk-UA"/>
        </w:rPr>
        <w:t xml:space="preserve">з упевненістю. </w:t>
      </w:r>
    </w:p>
    <w:p w:rsidR="00621866" w:rsidRDefault="00621866" w:rsidP="00E80A59">
      <w:pPr>
        <w:spacing w:before="120" w:after="120"/>
        <w:jc w:val="both"/>
        <w:rPr>
          <w:lang w:val="uk-UA"/>
        </w:rPr>
      </w:pPr>
      <w:r>
        <w:rPr>
          <w:lang w:val="uk-UA"/>
        </w:rPr>
        <w:t>Результати процесу відбору, описаного вище, повинні згодом перевірятися на будь-які операційні складно</w:t>
      </w:r>
      <w:r w:rsidR="009A7DCB">
        <w:rPr>
          <w:lang w:val="uk-UA"/>
        </w:rPr>
        <w:t>щі</w:t>
      </w:r>
      <w:r>
        <w:rPr>
          <w:lang w:val="uk-UA"/>
        </w:rPr>
        <w:t xml:space="preserve"> або інші проблеми, пов’язані з розрахунком відповідних регіональних індексів </w:t>
      </w:r>
      <w:r w:rsidR="009A7DCB" w:rsidRPr="00A645F3">
        <w:rPr>
          <w:lang w:val="uk-UA"/>
        </w:rPr>
        <w:t>простих</w:t>
      </w:r>
      <w:r w:rsidR="000D24C4" w:rsidRPr="00A645F3">
        <w:rPr>
          <w:lang w:val="uk-UA"/>
        </w:rPr>
        <w:t xml:space="preserve"> агрегатів</w:t>
      </w:r>
      <w:r w:rsidR="009A7DCB" w:rsidRPr="00A645F3">
        <w:rPr>
          <w:lang w:val="uk-UA"/>
        </w:rPr>
        <w:t xml:space="preserve"> і можуть</w:t>
      </w:r>
      <w:r w:rsidR="009A7DCB">
        <w:rPr>
          <w:lang w:val="uk-UA"/>
        </w:rPr>
        <w:t xml:space="preserve"> бути підкориговані в</w:t>
      </w:r>
      <w:r>
        <w:rPr>
          <w:lang w:val="uk-UA"/>
        </w:rPr>
        <w:t xml:space="preserve"> разі необхідності. </w:t>
      </w:r>
    </w:p>
    <w:p w:rsidR="00621866" w:rsidRDefault="00621866" w:rsidP="003B1C47">
      <w:pPr>
        <w:spacing w:before="120" w:after="120"/>
        <w:jc w:val="both"/>
        <w:rPr>
          <w:b/>
          <w:u w:val="single"/>
          <w:lang w:val="uk-UA"/>
        </w:rPr>
      </w:pPr>
      <w:r>
        <w:rPr>
          <w:b/>
          <w:u w:val="single"/>
          <w:lang w:val="uk-UA"/>
        </w:rPr>
        <w:t>Огляд методологічних принципів для організації статистичних спостережень, що стосуються цін на житло: складання вибірки та структура вагів</w:t>
      </w:r>
    </w:p>
    <w:p w:rsidR="00621866" w:rsidRDefault="00621866" w:rsidP="003B1C47">
      <w:pPr>
        <w:spacing w:before="120" w:after="120"/>
        <w:jc w:val="both"/>
        <w:rPr>
          <w:lang w:val="uk-UA"/>
        </w:rPr>
      </w:pPr>
      <w:r>
        <w:rPr>
          <w:lang w:val="uk-UA"/>
        </w:rPr>
        <w:t>ДССУ виконало чимало роботи з часу останньої місії, особливо у зв’язку з застосуванням попередніх рекомендацій стосовно вибірки та розширення реєстрації цін для охоплення і первинного, і вторинного ринків. ДССУ дослідило:</w:t>
      </w:r>
    </w:p>
    <w:p w:rsidR="00621866" w:rsidRPr="00621866" w:rsidRDefault="00621866" w:rsidP="003B1C47">
      <w:pPr>
        <w:numPr>
          <w:ilvl w:val="0"/>
          <w:numId w:val="40"/>
        </w:numPr>
        <w:spacing w:before="120" w:after="120"/>
        <w:jc w:val="both"/>
        <w:rPr>
          <w:lang w:val="uk-UA"/>
        </w:rPr>
      </w:pPr>
      <w:r>
        <w:rPr>
          <w:lang w:val="uk-UA"/>
        </w:rPr>
        <w:t xml:space="preserve">Наявність підходящих меж для вибірки для будівельних компаній, що продають житлові приміщення на первинному ринку, беручи за початкову точку компанії у реєстрі підприємств, які перелічені під відповідним заголовком </w:t>
      </w:r>
      <w:r>
        <w:rPr>
          <w:lang w:val="en-US"/>
        </w:rPr>
        <w:t>NACE</w:t>
      </w:r>
      <w:r>
        <w:rPr>
          <w:lang w:val="uk-UA"/>
        </w:rPr>
        <w:t xml:space="preserve">, приймаючи те, що це охоплює </w:t>
      </w:r>
      <w:r w:rsidRPr="00621866">
        <w:rPr>
          <w:u w:val="single"/>
          <w:lang w:val="uk-UA"/>
        </w:rPr>
        <w:t>всі</w:t>
      </w:r>
      <w:r>
        <w:rPr>
          <w:lang w:val="uk-UA"/>
        </w:rPr>
        <w:t xml:space="preserve"> будівельні компанії або базуючись на «міс</w:t>
      </w:r>
      <w:r w:rsidR="00D07192">
        <w:rPr>
          <w:lang w:val="uk-UA"/>
        </w:rPr>
        <w:t>цевих знаннях», наприклад, від а</w:t>
      </w:r>
      <w:r>
        <w:rPr>
          <w:lang w:val="uk-UA"/>
        </w:rPr>
        <w:t>гентств з нерухомості або підбірки реклам</w:t>
      </w:r>
      <w:r w:rsidR="00D07192">
        <w:rPr>
          <w:lang w:val="uk-UA"/>
        </w:rPr>
        <w:t>и в</w:t>
      </w:r>
      <w:r>
        <w:rPr>
          <w:lang w:val="uk-UA"/>
        </w:rPr>
        <w:t xml:space="preserve"> місцевих газетах чи на місцевих рекламних щитах для визначення відповідних компаній. </w:t>
      </w:r>
    </w:p>
    <w:p w:rsidR="00621866" w:rsidRPr="00621866" w:rsidRDefault="00621866" w:rsidP="003B1C47">
      <w:pPr>
        <w:numPr>
          <w:ilvl w:val="0"/>
          <w:numId w:val="40"/>
        </w:numPr>
        <w:spacing w:before="120" w:after="120"/>
        <w:jc w:val="both"/>
        <w:rPr>
          <w:lang w:val="ru-RU"/>
        </w:rPr>
      </w:pPr>
      <w:r>
        <w:rPr>
          <w:lang w:val="uk-UA"/>
        </w:rPr>
        <w:t>Методи для визначення та включення у вибірку агентств з нерухомості, агентств з нерухомості, які є фізичними особами-підприємцями.</w:t>
      </w:r>
    </w:p>
    <w:p w:rsidR="00621866" w:rsidRPr="00C93D33" w:rsidRDefault="00621866" w:rsidP="003B1C47">
      <w:pPr>
        <w:numPr>
          <w:ilvl w:val="0"/>
          <w:numId w:val="40"/>
        </w:numPr>
        <w:spacing w:before="120" w:after="120"/>
        <w:jc w:val="both"/>
        <w:rPr>
          <w:lang w:val="ru-RU"/>
        </w:rPr>
      </w:pPr>
      <w:r>
        <w:rPr>
          <w:lang w:val="uk-UA"/>
        </w:rPr>
        <w:t xml:space="preserve">Включення </w:t>
      </w:r>
      <w:r w:rsidR="00C93D33">
        <w:rPr>
          <w:lang w:val="uk-UA"/>
        </w:rPr>
        <w:t xml:space="preserve">власності, що продається через будівельні компанії та через агентства з нерухомості, які є фізичними особами-підприємцями, у вигляді окремої страти. Це буде додатком до окремої страти для первинного та вторинного ринків. </w:t>
      </w:r>
    </w:p>
    <w:p w:rsidR="00C93D33" w:rsidRDefault="00C93D33" w:rsidP="003B1C47">
      <w:pPr>
        <w:spacing w:before="120" w:after="120"/>
        <w:jc w:val="both"/>
        <w:rPr>
          <w:lang w:val="uk-UA"/>
        </w:rPr>
      </w:pPr>
      <w:r>
        <w:rPr>
          <w:lang w:val="uk-UA"/>
        </w:rPr>
        <w:t xml:space="preserve">ДССУ розрахувало окремі експериментальні індекси в кожному з регіонів для первинного ринку (через агентства з нерухомості) та для вторинного ринку (також через агентства з нерухомості). Кількість спостережень залишається невеликою, особливо на первинного ринку, що відображає реальну ситуацію на місцях. </w:t>
      </w:r>
    </w:p>
    <w:p w:rsidR="00C93D33" w:rsidRDefault="00C93D33" w:rsidP="003B1C47">
      <w:pPr>
        <w:spacing w:before="120" w:after="120"/>
        <w:jc w:val="both"/>
        <w:rPr>
          <w:lang w:val="uk-UA"/>
        </w:rPr>
      </w:pPr>
      <w:r>
        <w:rPr>
          <w:lang w:val="uk-UA"/>
        </w:rPr>
        <w:t xml:space="preserve">Усі бланки для обстежень було спрощено і було створено окрему анкету для отримання інформації щодо продажів від будівельних компаній. Ціни буде отримано від будівельних компаній з початку 2015 року. </w:t>
      </w:r>
    </w:p>
    <w:p w:rsidR="00F66544" w:rsidRPr="00C93D33" w:rsidRDefault="00C93D33" w:rsidP="003B1C47">
      <w:pPr>
        <w:spacing w:before="120" w:after="120"/>
        <w:jc w:val="both"/>
        <w:rPr>
          <w:lang w:val="uk-UA"/>
        </w:rPr>
      </w:pPr>
      <w:r>
        <w:rPr>
          <w:lang w:val="uk-UA"/>
        </w:rPr>
        <w:t>Було обговорено низку питань.</w:t>
      </w:r>
    </w:p>
    <w:p w:rsidR="00C93D33" w:rsidRPr="00C93D33" w:rsidRDefault="00C93D33" w:rsidP="00F66544">
      <w:pPr>
        <w:numPr>
          <w:ilvl w:val="0"/>
          <w:numId w:val="41"/>
        </w:numPr>
        <w:spacing w:before="120" w:after="120"/>
        <w:jc w:val="both"/>
        <w:rPr>
          <w:lang w:val="en-US"/>
        </w:rPr>
      </w:pPr>
      <w:r w:rsidRPr="00C93D33">
        <w:rPr>
          <w:lang w:val="uk-UA"/>
        </w:rPr>
        <w:t xml:space="preserve">Ваги повинні стосуватися товарообігу, а не населення. </w:t>
      </w:r>
    </w:p>
    <w:p w:rsidR="00C93D33" w:rsidRPr="00C93D33" w:rsidRDefault="00C93D33" w:rsidP="00F66544">
      <w:pPr>
        <w:numPr>
          <w:ilvl w:val="0"/>
          <w:numId w:val="41"/>
        </w:numPr>
        <w:spacing w:before="120" w:after="120"/>
        <w:jc w:val="both"/>
        <w:rPr>
          <w:lang w:val="ru-RU"/>
        </w:rPr>
      </w:pPr>
      <w:r>
        <w:rPr>
          <w:lang w:val="uk-UA"/>
        </w:rPr>
        <w:t xml:space="preserve">Трактування </w:t>
      </w:r>
      <w:r w:rsidRPr="00D07192">
        <w:rPr>
          <w:lang w:val="uk-UA"/>
        </w:rPr>
        <w:t>викидів</w:t>
      </w:r>
      <w:r>
        <w:rPr>
          <w:lang w:val="uk-UA"/>
        </w:rPr>
        <w:t xml:space="preserve"> потребує уважного розгляду, особливо коли є обмежена стратифікація через </w:t>
      </w:r>
      <w:r w:rsidR="00ED0D1E">
        <w:rPr>
          <w:lang w:val="uk-UA"/>
        </w:rPr>
        <w:t xml:space="preserve">ціноутворюючі </w:t>
      </w:r>
      <w:r w:rsidR="00200CFF">
        <w:rPr>
          <w:lang w:val="uk-UA"/>
        </w:rPr>
        <w:t>х</w:t>
      </w:r>
      <w:r>
        <w:rPr>
          <w:lang w:val="uk-UA"/>
        </w:rPr>
        <w:t>арактеристики будинку</w:t>
      </w:r>
      <w:r w:rsidR="00ED0D1E">
        <w:rPr>
          <w:lang w:val="uk-UA"/>
        </w:rPr>
        <w:t xml:space="preserve"> </w:t>
      </w:r>
      <w:r>
        <w:rPr>
          <w:lang w:val="uk-UA"/>
        </w:rPr>
        <w:t xml:space="preserve">та місце розташування. Слід розраховувати на знання на місцях. </w:t>
      </w:r>
    </w:p>
    <w:p w:rsidR="00C93D33" w:rsidRPr="00C93D33" w:rsidRDefault="00C93D33" w:rsidP="00F66544">
      <w:pPr>
        <w:numPr>
          <w:ilvl w:val="0"/>
          <w:numId w:val="41"/>
        </w:numPr>
        <w:spacing w:before="120" w:after="120"/>
        <w:jc w:val="both"/>
        <w:rPr>
          <w:lang w:val="uk-UA"/>
        </w:rPr>
      </w:pPr>
      <w:r w:rsidRPr="00C93D33">
        <w:rPr>
          <w:lang w:val="uk-UA"/>
        </w:rPr>
        <w:t>Може бути окрема проблема стосовно будинків та квартир, які продають будівельні компанії, коли зазвичай забудовник може продати останні кілька об</w:t>
      </w:r>
      <w:r w:rsidR="00200CFF" w:rsidRPr="00200CFF">
        <w:rPr>
          <w:lang w:val="ru-RU"/>
        </w:rPr>
        <w:t>’</w:t>
      </w:r>
      <w:r w:rsidRPr="00C93D33">
        <w:rPr>
          <w:lang w:val="uk-UA"/>
        </w:rPr>
        <w:t>єктів за знижкою, щоб зекономити витрати на рекламу продажів. Це не є типовим і має розглядатися як</w:t>
      </w:r>
      <w:r w:rsidRPr="00C93D33">
        <w:rPr>
          <w:color w:val="FF0000"/>
          <w:lang w:val="uk-UA"/>
        </w:rPr>
        <w:t xml:space="preserve"> </w:t>
      </w:r>
      <w:r w:rsidRPr="00D07192">
        <w:rPr>
          <w:lang w:val="uk-UA"/>
        </w:rPr>
        <w:t>викид</w:t>
      </w:r>
      <w:r w:rsidR="00200CFF" w:rsidRPr="00D07192">
        <w:rPr>
          <w:lang w:val="uk-UA"/>
        </w:rPr>
        <w:t>.</w:t>
      </w:r>
    </w:p>
    <w:p w:rsidR="003B1C47" w:rsidRPr="00AF77FA" w:rsidRDefault="00C93D33" w:rsidP="003B1C47">
      <w:pPr>
        <w:numPr>
          <w:ilvl w:val="0"/>
          <w:numId w:val="41"/>
        </w:numPr>
        <w:spacing w:before="120" w:after="120"/>
        <w:jc w:val="both"/>
        <w:rPr>
          <w:lang w:val="uk-UA"/>
        </w:rPr>
      </w:pPr>
      <w:r>
        <w:rPr>
          <w:lang w:val="uk-UA"/>
        </w:rPr>
        <w:t xml:space="preserve">Важливість стратифікації для всіх відповідних та значних </w:t>
      </w:r>
      <w:r w:rsidR="00ED0D1E">
        <w:rPr>
          <w:lang w:val="uk-UA"/>
        </w:rPr>
        <w:t>ціно</w:t>
      </w:r>
      <w:r>
        <w:rPr>
          <w:lang w:val="uk-UA"/>
        </w:rPr>
        <w:t>утворюючих характеристик</w:t>
      </w:r>
      <w:r w:rsidR="00ED0D1E">
        <w:rPr>
          <w:lang w:val="uk-UA"/>
        </w:rPr>
        <w:t xml:space="preserve">. Методи, що використовуються для побудови індексів цін для житлової нерухомості можуть бути обмежені наявними даними. </w:t>
      </w:r>
      <w:r w:rsidR="00200CFF">
        <w:rPr>
          <w:lang w:val="uk-UA"/>
        </w:rPr>
        <w:t>Дані, потрібні</w:t>
      </w:r>
      <w:r w:rsidR="00AE1FC2">
        <w:rPr>
          <w:lang w:val="uk-UA"/>
        </w:rPr>
        <w:t xml:space="preserve"> для побудови цільо</w:t>
      </w:r>
      <w:r w:rsidR="006E3016">
        <w:rPr>
          <w:lang w:val="uk-UA"/>
        </w:rPr>
        <w:t>вого індексу, після визначення,</w:t>
      </w:r>
      <w:r w:rsidR="00AE1FC2">
        <w:rPr>
          <w:lang w:val="uk-UA"/>
        </w:rPr>
        <w:t xml:space="preserve"> не завжди наявні на р</w:t>
      </w:r>
      <w:r w:rsidR="00867F42">
        <w:rPr>
          <w:lang w:val="uk-UA"/>
        </w:rPr>
        <w:t xml:space="preserve">егулярній та своєчасній основі, якщо взагалі є в наявності. </w:t>
      </w:r>
      <w:r w:rsidR="006E3016">
        <w:rPr>
          <w:lang w:val="uk-UA"/>
        </w:rPr>
        <w:t>Така ситуація</w:t>
      </w:r>
      <w:r w:rsidR="00867F42">
        <w:rPr>
          <w:lang w:val="uk-UA"/>
        </w:rPr>
        <w:t xml:space="preserve"> в Україні </w:t>
      </w:r>
      <w:r w:rsidR="006E3016">
        <w:rPr>
          <w:lang w:val="uk-UA"/>
        </w:rPr>
        <w:t xml:space="preserve">стосовно </w:t>
      </w:r>
      <w:r w:rsidR="00867F42">
        <w:rPr>
          <w:lang w:val="uk-UA"/>
        </w:rPr>
        <w:t>наявності ціноутворюючих характеристик, які потрібні для змішаного коригув</w:t>
      </w:r>
      <w:r w:rsidR="006E3016">
        <w:rPr>
          <w:lang w:val="uk-UA"/>
        </w:rPr>
        <w:t>ання/стратифікації. Якщо зміни в</w:t>
      </w:r>
      <w:r w:rsidR="00867F42">
        <w:rPr>
          <w:lang w:val="uk-UA"/>
        </w:rPr>
        <w:t xml:space="preserve"> ціноутворюючих характерис</w:t>
      </w:r>
      <w:r w:rsidR="00154CA6">
        <w:rPr>
          <w:lang w:val="uk-UA"/>
        </w:rPr>
        <w:t xml:space="preserve">тиках не дозволяються, </w:t>
      </w:r>
      <w:r w:rsidR="00867F42">
        <w:rPr>
          <w:lang w:val="uk-UA"/>
        </w:rPr>
        <w:t xml:space="preserve">це призведе до «шумових» оцінок цінових змін, а також виникне можливість певних </w:t>
      </w:r>
      <w:r w:rsidR="00154CA6">
        <w:rPr>
          <w:lang w:val="uk-UA"/>
        </w:rPr>
        <w:t xml:space="preserve">відхилень. За відсутності деталізованих даних щодо «бажаності» кожного об’єкту нерухомості, було узгоджено, що анкета включатиме питання щодо того чи </w:t>
      </w:r>
      <w:r w:rsidR="006E3016">
        <w:rPr>
          <w:lang w:val="uk-UA"/>
        </w:rPr>
        <w:t>об’єкт нерухомості</w:t>
      </w:r>
      <w:r w:rsidR="00154CA6">
        <w:rPr>
          <w:lang w:val="uk-UA"/>
        </w:rPr>
        <w:t xml:space="preserve"> є «високого класу», «середнього класу» або «низького класу».</w:t>
      </w:r>
      <w:r w:rsidR="006E3016">
        <w:rPr>
          <w:lang w:val="uk-UA"/>
        </w:rPr>
        <w:t xml:space="preserve"> Така класифікація повинна</w:t>
      </w:r>
      <w:r w:rsidR="00AF77FA">
        <w:rPr>
          <w:lang w:val="uk-UA"/>
        </w:rPr>
        <w:t xml:space="preserve"> стосуватися і бажаності будівлі, і бажаності місця розташування, і</w:t>
      </w:r>
      <w:r w:rsidR="006E3016">
        <w:rPr>
          <w:lang w:val="uk-UA"/>
        </w:rPr>
        <w:t xml:space="preserve"> має бути пояснена</w:t>
      </w:r>
      <w:r w:rsidR="00AF77FA">
        <w:rPr>
          <w:lang w:val="uk-UA"/>
        </w:rPr>
        <w:t>. Розглядалися два варіанти: класифікувати об’єкт нерухомості просять агента з продажу, або ж агента з продажу просять повідомити адресу, включаючи поштовий індекс, а регіональне відділення класифікує об’єкт нерухомості</w:t>
      </w:r>
      <w:r w:rsidR="006E3016">
        <w:rPr>
          <w:lang w:val="uk-UA"/>
        </w:rPr>
        <w:t>,</w:t>
      </w:r>
      <w:r w:rsidR="00AF77FA">
        <w:rPr>
          <w:lang w:val="uk-UA"/>
        </w:rPr>
        <w:t xml:space="preserve"> використовуючи місцеві знання про будівлю та місце розташування. Обидва варіанти мають свої переваги та недоліки, і обидва варто випробувати. </w:t>
      </w:r>
    </w:p>
    <w:p w:rsidR="00AF77FA" w:rsidRDefault="00AF77FA" w:rsidP="003B1C47">
      <w:pPr>
        <w:spacing w:before="120" w:after="120"/>
        <w:jc w:val="both"/>
        <w:rPr>
          <w:sz w:val="22"/>
          <w:lang w:val="uk-UA"/>
        </w:rPr>
      </w:pPr>
      <w:r>
        <w:rPr>
          <w:sz w:val="22"/>
          <w:lang w:val="uk-UA"/>
        </w:rPr>
        <w:t xml:space="preserve">Страта повинна бути якомога більш однорідною, але може </w:t>
      </w:r>
      <w:r w:rsidR="006E3016">
        <w:rPr>
          <w:sz w:val="22"/>
          <w:lang w:val="uk-UA"/>
        </w:rPr>
        <w:t>бути обмеженою</w:t>
      </w:r>
      <w:r>
        <w:rPr>
          <w:sz w:val="22"/>
          <w:lang w:val="uk-UA"/>
        </w:rPr>
        <w:t xml:space="preserve"> кількістю зареєстрованих трансакцій. </w:t>
      </w:r>
    </w:p>
    <w:p w:rsidR="00AF77FA" w:rsidRPr="00AF77FA" w:rsidRDefault="00AF77FA" w:rsidP="00AF77FA">
      <w:pPr>
        <w:spacing w:before="120" w:after="120"/>
        <w:jc w:val="both"/>
        <w:rPr>
          <w:lang w:val="uk-UA"/>
        </w:rPr>
      </w:pPr>
      <w:r>
        <w:rPr>
          <w:sz w:val="22"/>
          <w:lang w:val="uk-UA"/>
        </w:rPr>
        <w:t>Відбулося коротке обговорення щодо включення в ІСЦ житла, яке займає власник, і було піднято деякі питання, зокрема концептуальне питання стосовно землі</w:t>
      </w:r>
      <w:r w:rsidRPr="00AF77FA">
        <w:rPr>
          <w:lang w:val="uk-UA"/>
        </w:rPr>
        <w:t xml:space="preserve">. Як було вже зазначено в цьому звіті, </w:t>
      </w:r>
      <w:r>
        <w:rPr>
          <w:lang w:val="uk-UA"/>
        </w:rPr>
        <w:t xml:space="preserve">підхід </w:t>
      </w:r>
      <w:r w:rsidR="006E3016">
        <w:rPr>
          <w:lang w:val="uk-UA"/>
        </w:rPr>
        <w:t>купівлі</w:t>
      </w:r>
      <w:r>
        <w:rPr>
          <w:lang w:val="uk-UA"/>
        </w:rPr>
        <w:t xml:space="preserve"> нетто повторює умови національних рахунків: це є найближчим до підходу «</w:t>
      </w:r>
      <w:r w:rsidR="006E3016">
        <w:rPr>
          <w:lang w:val="uk-UA"/>
        </w:rPr>
        <w:t>купівлі</w:t>
      </w:r>
      <w:r>
        <w:rPr>
          <w:lang w:val="uk-UA"/>
        </w:rPr>
        <w:t>», що традиційно був прийнятим для інших частин ІСЦ і є більш придатним для ІСЦ, що використовується як загальний показник нинішньої економічної ситуації. Але існує недостатність консенсусу щодо того, потрі</w:t>
      </w:r>
      <w:r w:rsidR="006E3016">
        <w:rPr>
          <w:lang w:val="uk-UA"/>
        </w:rPr>
        <w:t>бно включати ціну землі чи ні. Зокрема с</w:t>
      </w:r>
      <w:r>
        <w:rPr>
          <w:lang w:val="uk-UA"/>
        </w:rPr>
        <w:t xml:space="preserve">тверджується, що в принципі вартість землі слід виключити, оскільки це </w:t>
      </w:r>
      <w:r w:rsidR="006E3016">
        <w:rPr>
          <w:lang w:val="uk-UA"/>
        </w:rPr>
        <w:t>основні фонди</w:t>
      </w:r>
      <w:r>
        <w:rPr>
          <w:lang w:val="uk-UA"/>
        </w:rPr>
        <w:t xml:space="preserve">, що не підлягають амортизації, тобто це представляє капітальну складову придбання будинку і, так само як трактування капітальних виплат за іпотекою, </w:t>
      </w:r>
      <w:r w:rsidR="006E3016">
        <w:rPr>
          <w:lang w:val="uk-UA"/>
        </w:rPr>
        <w:t xml:space="preserve">це </w:t>
      </w:r>
      <w:r>
        <w:rPr>
          <w:lang w:val="uk-UA"/>
        </w:rPr>
        <w:t>слід розглядати як інвестицію, аніж як спожив</w:t>
      </w:r>
      <w:r w:rsidR="006E3016">
        <w:rPr>
          <w:lang w:val="uk-UA"/>
        </w:rPr>
        <w:t>чі</w:t>
      </w:r>
      <w:r>
        <w:rPr>
          <w:lang w:val="uk-UA"/>
        </w:rPr>
        <w:t xml:space="preserve"> витрати</w:t>
      </w:r>
      <w:r w:rsidR="00E148FA">
        <w:rPr>
          <w:lang w:val="uk-UA"/>
        </w:rPr>
        <w:t>. Практичною складністю є в</w:t>
      </w:r>
      <w:r w:rsidR="006E3016">
        <w:rPr>
          <w:lang w:val="uk-UA"/>
        </w:rPr>
        <w:t>ідокремлення</w:t>
      </w:r>
      <w:r w:rsidR="00E148FA">
        <w:rPr>
          <w:lang w:val="uk-UA"/>
        </w:rPr>
        <w:t xml:space="preserve"> ціни землі від ціни будівлі. Концептуальне обговорення триває, і було вирішено, що питання землі буде наразі відкладено. </w:t>
      </w:r>
    </w:p>
    <w:p w:rsidR="00902F64" w:rsidRPr="003B1C47" w:rsidRDefault="00902F64" w:rsidP="003B1C47">
      <w:pPr>
        <w:spacing w:before="120" w:after="120"/>
        <w:jc w:val="both"/>
        <w:rPr>
          <w:lang w:val="en-US"/>
        </w:rPr>
      </w:pPr>
    </w:p>
    <w:p w:rsidR="001C1371" w:rsidRDefault="00A20004" w:rsidP="00E80A59">
      <w:pPr>
        <w:spacing w:before="120" w:after="120"/>
        <w:jc w:val="both"/>
        <w:rPr>
          <w:lang w:val="en-US"/>
        </w:rPr>
      </w:pPr>
      <w:r w:rsidRPr="001C1371">
        <w:rPr>
          <w:b/>
          <w:sz w:val="32"/>
          <w:szCs w:val="32"/>
          <w:lang w:eastAsia="fi-FI"/>
        </w:rPr>
        <w:t>3.</w:t>
      </w:r>
      <w:r w:rsidR="00E148FA">
        <w:rPr>
          <w:b/>
          <w:sz w:val="32"/>
          <w:szCs w:val="32"/>
          <w:lang w:val="uk-UA" w:eastAsia="fi-FI"/>
        </w:rPr>
        <w:t xml:space="preserve"> </w:t>
      </w:r>
      <w:r w:rsidRPr="001C1371">
        <w:rPr>
          <w:b/>
          <w:sz w:val="32"/>
          <w:szCs w:val="32"/>
          <w:lang w:eastAsia="fi-FI"/>
        </w:rPr>
        <w:t xml:space="preserve"> </w:t>
      </w:r>
      <w:r w:rsidR="00E148FA">
        <w:rPr>
          <w:b/>
          <w:sz w:val="32"/>
          <w:szCs w:val="32"/>
          <w:lang w:val="uk-UA" w:eastAsia="fi-FI"/>
        </w:rPr>
        <w:t xml:space="preserve">Висновки та рекомендації щодо подальшої технічної підтримки </w:t>
      </w:r>
    </w:p>
    <w:p w:rsidR="00E148FA" w:rsidRPr="00E148FA" w:rsidRDefault="00E148FA" w:rsidP="00E80A59">
      <w:pPr>
        <w:spacing w:before="120" w:after="120"/>
        <w:jc w:val="both"/>
        <w:rPr>
          <w:lang w:val="uk-UA"/>
        </w:rPr>
      </w:pPr>
      <w:r>
        <w:rPr>
          <w:lang w:val="uk-UA"/>
        </w:rPr>
        <w:t>Робота над контрольним списком для ІСЦ надала основну інформацію для складання звіту з якості, а також підняла низку питань, які слід вирішити. Звіт з якості буде складено ДССУ з подальшою допомогою Статистичної служби Литви. Контрольний список с</w:t>
      </w:r>
      <w:r w:rsidR="00A259DA">
        <w:rPr>
          <w:lang w:val="uk-UA"/>
        </w:rPr>
        <w:t>тане</w:t>
      </w:r>
      <w:r>
        <w:rPr>
          <w:lang w:val="uk-UA"/>
        </w:rPr>
        <w:t xml:space="preserve"> част</w:t>
      </w:r>
      <w:r w:rsidR="00A259DA">
        <w:rPr>
          <w:lang w:val="uk-UA"/>
        </w:rPr>
        <w:t>иною</w:t>
      </w:r>
      <w:r>
        <w:rPr>
          <w:lang w:val="uk-UA"/>
        </w:rPr>
        <w:t xml:space="preserve"> більш детальної оцінки та відповідної програми розвитку для операційного використання, на додачу до того, що </w:t>
      </w:r>
      <w:r w:rsidR="00A259DA">
        <w:rPr>
          <w:lang w:val="uk-UA"/>
        </w:rPr>
        <w:t>він</w:t>
      </w:r>
      <w:r>
        <w:rPr>
          <w:lang w:val="uk-UA"/>
        </w:rPr>
        <w:t xml:space="preserve"> стане частиною процесу складання звітів з якості. Рекомендовані дії слід вжити в контексті запланованого переходу з 2017 року на ІСЦ, що ближче відповідає принципам національних рахунків і правилам та рекомендаціям Євростату стосовно розрахунку Гармонізованого індексу споживчих цін (ГІСЦ). Деякі розробки потребують додаткової і</w:t>
      </w:r>
      <w:r w:rsidR="00A259DA">
        <w:rPr>
          <w:lang w:val="uk-UA"/>
        </w:rPr>
        <w:t>нформації, яку слід отримати з о</w:t>
      </w:r>
      <w:r>
        <w:rPr>
          <w:lang w:val="uk-UA"/>
        </w:rPr>
        <w:t xml:space="preserve">бстеження бюджетів домогосподарств (ОБД). ДССУ потрібно інтегрувати рекомендації у свою робочу програму, що розпочнеться на початку 2015 року. Частина цього процесу потребуватиме </w:t>
      </w:r>
      <w:r w:rsidR="0082696B">
        <w:rPr>
          <w:lang w:val="uk-UA"/>
        </w:rPr>
        <w:t>більш детальн</w:t>
      </w:r>
      <w:r w:rsidR="00A259DA">
        <w:rPr>
          <w:lang w:val="uk-UA"/>
        </w:rPr>
        <w:t>ого</w:t>
      </w:r>
      <w:r w:rsidR="0082696B">
        <w:rPr>
          <w:lang w:val="uk-UA"/>
        </w:rPr>
        <w:t xml:space="preserve"> та </w:t>
      </w:r>
      <w:r w:rsidR="00A259DA">
        <w:rPr>
          <w:lang w:val="uk-UA"/>
        </w:rPr>
        <w:t>формального</w:t>
      </w:r>
      <w:r w:rsidR="0082696B">
        <w:rPr>
          <w:lang w:val="uk-UA"/>
        </w:rPr>
        <w:t xml:space="preserve"> процес</w:t>
      </w:r>
      <w:r w:rsidR="00A259DA">
        <w:rPr>
          <w:lang w:val="uk-UA"/>
        </w:rPr>
        <w:t>у</w:t>
      </w:r>
      <w:r w:rsidR="0082696B">
        <w:rPr>
          <w:lang w:val="uk-UA"/>
        </w:rPr>
        <w:t xml:space="preserve"> </w:t>
      </w:r>
      <w:r w:rsidR="00A259DA">
        <w:rPr>
          <w:lang w:val="uk-UA"/>
        </w:rPr>
        <w:t>запровадження дій, необхідних</w:t>
      </w:r>
      <w:r w:rsidR="0082696B">
        <w:rPr>
          <w:lang w:val="uk-UA"/>
        </w:rPr>
        <w:t xml:space="preserve"> для того, щоб зробити чинний ІСЦ відповідним до правил та рекомендацій ГІСЦ, що може </w:t>
      </w:r>
      <w:r w:rsidR="00A259DA">
        <w:rPr>
          <w:lang w:val="uk-UA"/>
        </w:rPr>
        <w:t xml:space="preserve">мати </w:t>
      </w:r>
      <w:r w:rsidR="0082696B">
        <w:rPr>
          <w:lang w:val="uk-UA"/>
        </w:rPr>
        <w:t xml:space="preserve">значно більш </w:t>
      </w:r>
      <w:r w:rsidR="00A259DA">
        <w:rPr>
          <w:lang w:val="uk-UA"/>
        </w:rPr>
        <w:t>наказовий характер</w:t>
      </w:r>
      <w:r w:rsidR="0082696B">
        <w:rPr>
          <w:lang w:val="uk-UA"/>
        </w:rPr>
        <w:t>, ніж міжнародні рекомендації щодо кращих практик. Рекомендується, щоб це було зроблено під час наступної місії в червні 2015 року (приблизна дата – тиждень, що починається з 15 червня 2015 року). Тоді ж можна буде перевірити прогрес</w:t>
      </w:r>
      <w:r w:rsidR="00A259DA">
        <w:rPr>
          <w:lang w:val="uk-UA"/>
        </w:rPr>
        <w:t xml:space="preserve"> </w:t>
      </w:r>
      <w:r w:rsidR="0082696B">
        <w:rPr>
          <w:lang w:val="uk-UA"/>
        </w:rPr>
        <w:t xml:space="preserve">щодо дій, розпочатих після цієї місії. </w:t>
      </w:r>
    </w:p>
    <w:p w:rsidR="0042193A" w:rsidRDefault="0042193A" w:rsidP="001C1371">
      <w:pPr>
        <w:pStyle w:val="Default"/>
        <w:jc w:val="both"/>
        <w:rPr>
          <w:rFonts w:ascii="Times New Roman" w:hAnsi="Times New Roman" w:cs="Times New Roman"/>
          <w:lang w:val="uk-UA"/>
        </w:rPr>
      </w:pPr>
      <w:r>
        <w:rPr>
          <w:rFonts w:ascii="Times New Roman" w:hAnsi="Times New Roman" w:cs="Times New Roman"/>
          <w:lang w:val="uk-UA"/>
        </w:rPr>
        <w:t>Під час місії було надано поради щодо зменшення кількості міст, де проводиться реєстрація цін, використовуючи ймовірнісну вибірку, пропорційну до розміру (</w:t>
      </w:r>
      <w:r w:rsidR="00A259DA">
        <w:rPr>
          <w:rFonts w:ascii="Times New Roman" w:hAnsi="Times New Roman" w:cs="Times New Roman"/>
          <w:lang w:val="uk-UA"/>
        </w:rPr>
        <w:t>обсягу</w:t>
      </w:r>
      <w:r>
        <w:rPr>
          <w:rFonts w:ascii="Times New Roman" w:hAnsi="Times New Roman" w:cs="Times New Roman"/>
          <w:lang w:val="uk-UA"/>
        </w:rPr>
        <w:t xml:space="preserve">) та вибірки </w:t>
      </w:r>
      <w:r w:rsidR="00A259DA">
        <w:rPr>
          <w:rFonts w:ascii="Times New Roman" w:hAnsi="Times New Roman" w:cs="Times New Roman"/>
          <w:lang w:val="uk-UA"/>
        </w:rPr>
        <w:t>методом</w:t>
      </w:r>
      <w:r>
        <w:rPr>
          <w:rFonts w:ascii="Times New Roman" w:hAnsi="Times New Roman" w:cs="Times New Roman"/>
          <w:lang w:val="uk-UA"/>
        </w:rPr>
        <w:t xml:space="preserve"> відсікання. Та сама місія, згадана в попередньому абзаці, може також перевірити результат подальшої роботи, яку провела ДССУ.</w:t>
      </w:r>
    </w:p>
    <w:p w:rsidR="001C1371" w:rsidRPr="0042193A" w:rsidRDefault="001C1371" w:rsidP="001C1371">
      <w:pPr>
        <w:pStyle w:val="Default"/>
        <w:jc w:val="both"/>
        <w:rPr>
          <w:rFonts w:ascii="Times New Roman" w:hAnsi="Times New Roman" w:cs="Times New Roman"/>
          <w:lang w:val="uk-UA"/>
        </w:rPr>
      </w:pPr>
    </w:p>
    <w:p w:rsidR="0042193A" w:rsidRDefault="0042193A" w:rsidP="001C1371">
      <w:pPr>
        <w:pStyle w:val="Default"/>
        <w:jc w:val="both"/>
        <w:rPr>
          <w:rFonts w:ascii="Times New Roman" w:hAnsi="Times New Roman" w:cs="Times New Roman"/>
          <w:lang w:val="uk-UA"/>
        </w:rPr>
      </w:pPr>
      <w:r>
        <w:rPr>
          <w:rFonts w:ascii="Times New Roman" w:hAnsi="Times New Roman" w:cs="Times New Roman"/>
          <w:lang w:val="uk-UA"/>
        </w:rPr>
        <w:t xml:space="preserve">ДССУ досягла значного прогресу протягом останніх місяців у подальшому методологічному розвитку експериментального індексу цін на житло, низку вдосконалень було рекомендовано під час цієї місії, покликаної вирішити деякі з проблем, що залишилися, зокрема щодо запровадження більш підходящої стратифікації для кращої допомоги змішаному коригуванню. Більш широкий збір даних буде розпочато в січні 2015 року. </w:t>
      </w:r>
      <w:r w:rsidRPr="0042193A">
        <w:rPr>
          <w:rFonts w:ascii="Times New Roman" w:hAnsi="Times New Roman" w:cs="Times New Roman"/>
          <w:i/>
          <w:u w:val="single"/>
          <w:lang w:val="uk-UA"/>
        </w:rPr>
        <w:t>Наступну місію рекомендується провести в жовтні 2015 року</w:t>
      </w:r>
      <w:r>
        <w:rPr>
          <w:rFonts w:ascii="Times New Roman" w:hAnsi="Times New Roman" w:cs="Times New Roman"/>
          <w:lang w:val="uk-UA"/>
        </w:rPr>
        <w:t xml:space="preserve"> (приблизна дата – тиждень, що починається 19.10.2014) для оцінювання покращень та оцінки експериментального індексу для визначення чи підходить він для публікації або чи потрібні подальші вдосконалення. </w:t>
      </w:r>
    </w:p>
    <w:p w:rsidR="0042193A" w:rsidRDefault="0042193A" w:rsidP="001C1371">
      <w:pPr>
        <w:pStyle w:val="Default"/>
        <w:jc w:val="both"/>
        <w:rPr>
          <w:rFonts w:ascii="Times New Roman" w:hAnsi="Times New Roman" w:cs="Times New Roman"/>
          <w:lang w:val="uk-UA"/>
        </w:rPr>
      </w:pPr>
    </w:p>
    <w:p w:rsidR="001C1371" w:rsidRPr="001F6900" w:rsidRDefault="001C1371" w:rsidP="001C1371">
      <w:pPr>
        <w:pStyle w:val="Default"/>
        <w:jc w:val="both"/>
        <w:rPr>
          <w:rFonts w:ascii="Times New Roman" w:hAnsi="Times New Roman" w:cs="Times New Roman"/>
        </w:rPr>
      </w:pPr>
    </w:p>
    <w:bookmarkEnd w:id="2"/>
    <w:bookmarkEnd w:id="3"/>
    <w:p w:rsidR="00DC18B1" w:rsidRPr="00C466CC" w:rsidRDefault="00C335D1" w:rsidP="00DA78AD">
      <w:pPr>
        <w:pStyle w:val="1"/>
        <w:jc w:val="both"/>
        <w:rPr>
          <w:rFonts w:ascii="Times New Roman" w:hAnsi="Times New Roman"/>
          <w:bCs w:val="0"/>
          <w:kern w:val="0"/>
          <w:sz w:val="22"/>
          <w:szCs w:val="22"/>
          <w:lang w:val="en-US"/>
        </w:rPr>
      </w:pPr>
      <w:r w:rsidRPr="003F7D81">
        <w:rPr>
          <w:sz w:val="22"/>
          <w:szCs w:val="22"/>
        </w:rPr>
        <w:br w:type="page"/>
      </w:r>
    </w:p>
    <w:p w:rsidR="00C81FE4" w:rsidRPr="00AD3566" w:rsidRDefault="00FD00AD" w:rsidP="00C81FE4">
      <w:pPr>
        <w:pStyle w:val="1"/>
        <w:rPr>
          <w:rFonts w:ascii="Times New Roman" w:hAnsi="Times New Roman" w:cs="Times New Roman"/>
        </w:rPr>
      </w:pPr>
      <w:bookmarkStart w:id="4" w:name="_Toc108414600"/>
      <w:bookmarkStart w:id="5" w:name="_Toc285540451"/>
      <w:r>
        <w:rPr>
          <w:rFonts w:ascii="Times New Roman" w:hAnsi="Times New Roman" w:cs="Times New Roman"/>
          <w:lang w:val="uk-UA"/>
        </w:rPr>
        <w:t>Додаток</w:t>
      </w:r>
      <w:r w:rsidR="005B5E7C" w:rsidRPr="00AD3566">
        <w:rPr>
          <w:rFonts w:ascii="Times New Roman" w:hAnsi="Times New Roman" w:cs="Times New Roman"/>
        </w:rPr>
        <w:t xml:space="preserve"> </w:t>
      </w:r>
      <w:r w:rsidR="006534E6" w:rsidRPr="00AD3566">
        <w:rPr>
          <w:rFonts w:ascii="Times New Roman" w:hAnsi="Times New Roman" w:cs="Times New Roman"/>
        </w:rPr>
        <w:t>1</w:t>
      </w:r>
      <w:r w:rsidR="000E2AC0" w:rsidRPr="00AD3566">
        <w:rPr>
          <w:rFonts w:ascii="Times New Roman" w:hAnsi="Times New Roman" w:cs="Times New Roman"/>
        </w:rPr>
        <w:t>.</w:t>
      </w:r>
      <w:r w:rsidR="006534E6" w:rsidRPr="00AD3566">
        <w:rPr>
          <w:rFonts w:ascii="Times New Roman" w:hAnsi="Times New Roman" w:cs="Times New Roman"/>
        </w:rPr>
        <w:t xml:space="preserve"> </w:t>
      </w:r>
      <w:bookmarkEnd w:id="4"/>
      <w:r>
        <w:rPr>
          <w:rFonts w:ascii="Times New Roman" w:hAnsi="Times New Roman" w:cs="Times New Roman"/>
          <w:lang w:val="uk-UA"/>
        </w:rPr>
        <w:t xml:space="preserve">Технічне завдання </w:t>
      </w:r>
      <w:bookmarkEnd w:id="5"/>
    </w:p>
    <w:p w:rsidR="00C81FE4" w:rsidRPr="00AD3566" w:rsidRDefault="00C81FE4" w:rsidP="00C81FE4">
      <w:pPr>
        <w:rPr>
          <w:b/>
        </w:rPr>
      </w:pPr>
    </w:p>
    <w:p w:rsidR="006A4937" w:rsidRPr="00BA0A73" w:rsidRDefault="006A4937" w:rsidP="006A4937">
      <w:pPr>
        <w:pStyle w:val="a3"/>
        <w:rPr>
          <w:rFonts w:ascii="Times New Roman" w:hAnsi="Times New Roman"/>
          <w:lang w:val="uk-UA"/>
        </w:rPr>
      </w:pPr>
      <w:r w:rsidRPr="00BA0A73">
        <w:rPr>
          <w:rFonts w:ascii="Times New Roman" w:hAnsi="Times New Roman"/>
          <w:lang w:val="uk-UA"/>
        </w:rPr>
        <w:t xml:space="preserve">Технічне завдання </w:t>
      </w:r>
    </w:p>
    <w:p w:rsidR="006A4937" w:rsidRPr="00BA0A73" w:rsidRDefault="006A4937" w:rsidP="006A4937">
      <w:pPr>
        <w:jc w:val="center"/>
        <w:rPr>
          <w:i/>
          <w:lang w:val="uk-UA"/>
        </w:rPr>
      </w:pPr>
      <w:r w:rsidRPr="00BA0A73">
        <w:rPr>
          <w:i/>
          <w:lang w:val="uk-UA"/>
        </w:rPr>
        <w:t>на короткострокову місію до Державної служби статистики України</w:t>
      </w:r>
    </w:p>
    <w:p w:rsidR="006A4937" w:rsidRPr="00BA0A73" w:rsidRDefault="006A4937" w:rsidP="006A4937">
      <w:pPr>
        <w:jc w:val="center"/>
        <w:rPr>
          <w:i/>
          <w:iCs/>
          <w:lang w:val="uk-UA"/>
        </w:rPr>
      </w:pPr>
    </w:p>
    <w:p w:rsidR="006A4937" w:rsidRPr="00314001" w:rsidRDefault="006A4937" w:rsidP="006A4937">
      <w:pPr>
        <w:jc w:val="center"/>
        <w:rPr>
          <w:lang w:val="uk-UA" w:eastAsia="uk-UA"/>
        </w:rPr>
      </w:pPr>
      <w:r w:rsidRPr="00BA0A73">
        <w:rPr>
          <w:i/>
          <w:iCs/>
          <w:lang w:val="uk-UA"/>
        </w:rPr>
        <w:t xml:space="preserve">Компонент  </w:t>
      </w:r>
      <w:r w:rsidRPr="00E00287">
        <w:rPr>
          <w:i/>
          <w:iCs/>
          <w:lang w:val="uk-UA"/>
        </w:rPr>
        <w:t>3</w:t>
      </w:r>
      <w:r w:rsidRPr="00BA0A73">
        <w:rPr>
          <w:i/>
          <w:iCs/>
          <w:lang w:val="uk-UA"/>
        </w:rPr>
        <w:t xml:space="preserve">: </w:t>
      </w:r>
      <w:r>
        <w:rPr>
          <w:i/>
          <w:iCs/>
          <w:lang w:val="uk-UA"/>
        </w:rPr>
        <w:t>Індекс споживчих цін (І</w:t>
      </w:r>
      <w:r w:rsidRPr="00E00287">
        <w:rPr>
          <w:i/>
          <w:iCs/>
          <w:lang w:val="uk-UA"/>
        </w:rPr>
        <w:t>СЦ</w:t>
      </w:r>
      <w:r>
        <w:rPr>
          <w:i/>
          <w:iCs/>
          <w:lang w:val="uk-UA"/>
        </w:rPr>
        <w:t>)</w:t>
      </w:r>
      <w:r w:rsidRPr="00E00287">
        <w:rPr>
          <w:i/>
          <w:iCs/>
          <w:lang w:val="uk-UA"/>
        </w:rPr>
        <w:t>: звіти з якості</w:t>
      </w:r>
    </w:p>
    <w:p w:rsidR="006A4937" w:rsidRPr="00BA0A73" w:rsidRDefault="006A4937" w:rsidP="006A4937">
      <w:pPr>
        <w:jc w:val="center"/>
        <w:rPr>
          <w:i/>
          <w:iCs/>
          <w:lang w:val="uk-UA"/>
        </w:rPr>
      </w:pPr>
    </w:p>
    <w:p w:rsidR="006A4937" w:rsidRPr="00BA0A73" w:rsidRDefault="006A4937" w:rsidP="006A4937">
      <w:pPr>
        <w:jc w:val="center"/>
        <w:rPr>
          <w:i/>
          <w:iCs/>
          <w:lang w:val="uk-UA"/>
        </w:rPr>
      </w:pPr>
      <w:r w:rsidRPr="00BA0A73">
        <w:rPr>
          <w:i/>
          <w:iCs/>
          <w:lang w:val="uk-UA"/>
        </w:rPr>
        <w:t xml:space="preserve">Захід </w:t>
      </w:r>
      <w:r>
        <w:rPr>
          <w:i/>
          <w:iCs/>
          <w:lang w:val="uk-UA"/>
        </w:rPr>
        <w:t>3</w:t>
      </w:r>
      <w:r w:rsidRPr="00BA0A73">
        <w:rPr>
          <w:i/>
          <w:iCs/>
          <w:lang w:val="uk-UA"/>
        </w:rPr>
        <w:t>.1.: Оціночна  місія</w:t>
      </w:r>
    </w:p>
    <w:p w:rsidR="006A4937" w:rsidRPr="00BA0A73" w:rsidRDefault="006A4937" w:rsidP="006A4937">
      <w:pPr>
        <w:pStyle w:val="1"/>
        <w:rPr>
          <w:rFonts w:ascii="Times New Roman" w:hAnsi="Times New Roman" w:cs="Times New Roman"/>
          <w:sz w:val="28"/>
          <w:szCs w:val="28"/>
          <w:lang w:val="uk-UA"/>
        </w:rPr>
      </w:pPr>
      <w:r w:rsidRPr="00BA0A73">
        <w:rPr>
          <w:rFonts w:ascii="Times New Roman" w:hAnsi="Times New Roman" w:cs="Times New Roman"/>
          <w:sz w:val="28"/>
          <w:szCs w:val="28"/>
          <w:lang w:val="uk-UA"/>
        </w:rPr>
        <w:t>Основна інформація</w:t>
      </w:r>
    </w:p>
    <w:p w:rsidR="006A4937" w:rsidRPr="00BA0A73" w:rsidRDefault="006A4937" w:rsidP="006A4937">
      <w:pPr>
        <w:rPr>
          <w:rStyle w:val="hps"/>
          <w:lang w:val="uk-UA"/>
        </w:rPr>
      </w:pPr>
      <w:r w:rsidRPr="00BA0A73">
        <w:rPr>
          <w:rStyle w:val="hps"/>
          <w:lang w:val="uk-UA"/>
        </w:rPr>
        <w:t>Статистика</w:t>
      </w:r>
      <w:r w:rsidRPr="00BA0A73">
        <w:rPr>
          <w:lang w:val="uk-UA"/>
        </w:rPr>
        <w:t xml:space="preserve"> </w:t>
      </w:r>
      <w:r w:rsidRPr="00BA0A73">
        <w:rPr>
          <w:rStyle w:val="hps"/>
          <w:lang w:val="uk-UA"/>
        </w:rPr>
        <w:t>Данії</w:t>
      </w:r>
      <w:r w:rsidRPr="00BA0A73">
        <w:rPr>
          <w:lang w:val="uk-UA"/>
        </w:rPr>
        <w:t xml:space="preserve"> </w:t>
      </w:r>
      <w:r w:rsidRPr="00BA0A73">
        <w:rPr>
          <w:rStyle w:val="hps"/>
          <w:lang w:val="uk-UA"/>
        </w:rPr>
        <w:t>реалізовує в</w:t>
      </w:r>
      <w:r w:rsidRPr="00BA0A73">
        <w:rPr>
          <w:lang w:val="uk-UA"/>
        </w:rPr>
        <w:t xml:space="preserve"> </w:t>
      </w:r>
      <w:r w:rsidRPr="00BA0A73">
        <w:rPr>
          <w:rStyle w:val="hps"/>
          <w:lang w:val="uk-UA"/>
        </w:rPr>
        <w:t>Україні проект ЄС</w:t>
      </w:r>
      <w:r w:rsidRPr="00BA0A73">
        <w:rPr>
          <w:lang w:val="uk-UA"/>
        </w:rPr>
        <w:t xml:space="preserve"> </w:t>
      </w:r>
      <w:r w:rsidRPr="00BA0A73">
        <w:rPr>
          <w:rStyle w:val="hps"/>
          <w:lang w:val="uk-UA"/>
        </w:rPr>
        <w:t xml:space="preserve">Твіннінг </w:t>
      </w:r>
      <w:r w:rsidRPr="006A4937">
        <w:rPr>
          <w:lang w:val="uk-UA"/>
        </w:rPr>
        <w:t>"Сприяння процесам удосконалення Державної служби статистики України з метою покращення її потенціалу та продукції"</w:t>
      </w:r>
      <w:r w:rsidRPr="00BA0A73">
        <w:rPr>
          <w:lang w:val="uk-UA"/>
        </w:rPr>
        <w:t xml:space="preserve">. </w:t>
      </w:r>
      <w:r w:rsidRPr="00BA0A73">
        <w:rPr>
          <w:rStyle w:val="hps"/>
          <w:lang w:val="uk-UA"/>
        </w:rPr>
        <w:t>Бенефеціаром виступає Державна служба статистики України (Держстат України).</w:t>
      </w:r>
    </w:p>
    <w:p w:rsidR="006A4937" w:rsidRPr="00BA0A73" w:rsidRDefault="006A4937" w:rsidP="006A4937">
      <w:pPr>
        <w:rPr>
          <w:bCs/>
          <w:lang w:val="uk-UA"/>
        </w:rPr>
      </w:pPr>
    </w:p>
    <w:p w:rsidR="006A4937" w:rsidRDefault="006A4937" w:rsidP="006A4937">
      <w:pPr>
        <w:rPr>
          <w:lang w:val="uk-UA"/>
        </w:rPr>
      </w:pPr>
      <w:r w:rsidRPr="00BA0A73">
        <w:rPr>
          <w:bCs/>
          <w:lang w:val="uk-UA"/>
        </w:rPr>
        <w:t xml:space="preserve">Цей захід реалізовується в рамках компоненту </w:t>
      </w:r>
      <w:r>
        <w:rPr>
          <w:bCs/>
          <w:lang w:val="uk-UA"/>
        </w:rPr>
        <w:t>3</w:t>
      </w:r>
      <w:r w:rsidRPr="00BA0A73">
        <w:rPr>
          <w:bCs/>
          <w:lang w:val="uk-UA"/>
        </w:rPr>
        <w:t xml:space="preserve">: </w:t>
      </w:r>
      <w:r w:rsidRPr="00BA0A73">
        <w:rPr>
          <w:lang w:val="uk-UA" w:eastAsia="uk-UA"/>
        </w:rPr>
        <w:t xml:space="preserve">Індекс споживчих цін (ІСЦ): </w:t>
      </w:r>
      <w:r>
        <w:rPr>
          <w:lang w:val="uk-UA" w:eastAsia="uk-UA"/>
        </w:rPr>
        <w:t>звіти з якості</w:t>
      </w:r>
      <w:r w:rsidRPr="00BA0A73">
        <w:rPr>
          <w:bCs/>
          <w:lang w:val="uk-UA"/>
        </w:rPr>
        <w:t>.</w:t>
      </w:r>
      <w:r w:rsidRPr="00BA0A73">
        <w:rPr>
          <w:lang w:val="uk-UA"/>
        </w:rPr>
        <w:t xml:space="preserve"> Метою цього компоненту </w:t>
      </w:r>
      <w:r>
        <w:rPr>
          <w:lang w:val="uk-UA"/>
        </w:rPr>
        <w:t>є з</w:t>
      </w:r>
      <w:r w:rsidRPr="00D82CFF">
        <w:rPr>
          <w:lang w:val="uk-UA"/>
        </w:rPr>
        <w:t>апровадження</w:t>
      </w:r>
      <w:r>
        <w:rPr>
          <w:lang w:val="uk-UA"/>
        </w:rPr>
        <w:t xml:space="preserve"> стандартних </w:t>
      </w:r>
      <w:r w:rsidRPr="00D82CFF">
        <w:rPr>
          <w:lang w:val="uk-UA"/>
        </w:rPr>
        <w:t xml:space="preserve">звітів з якості </w:t>
      </w:r>
      <w:r>
        <w:rPr>
          <w:lang w:val="uk-UA"/>
        </w:rPr>
        <w:t>державних статистичних спостережень на основі рекомендацій Євростату.</w:t>
      </w:r>
    </w:p>
    <w:p w:rsidR="006A4937" w:rsidRDefault="006A4937" w:rsidP="006A4937">
      <w:pPr>
        <w:rPr>
          <w:lang w:val="uk-UA"/>
        </w:rPr>
      </w:pPr>
      <w:r>
        <w:rPr>
          <w:lang w:val="uk-UA"/>
        </w:rPr>
        <w:t xml:space="preserve"> </w:t>
      </w:r>
    </w:p>
    <w:p w:rsidR="006A4937" w:rsidRPr="00BA0A73" w:rsidRDefault="006A4937" w:rsidP="006A4937">
      <w:pPr>
        <w:rPr>
          <w:lang w:val="uk-UA"/>
        </w:rPr>
      </w:pPr>
      <w:r w:rsidRPr="00BA0A73">
        <w:rPr>
          <w:lang w:val="uk-UA"/>
        </w:rPr>
        <w:t>Цей захід сприятиме досягненню зазначеної вище мети і контрольних показників, вказаних у контракті, зокрема:</w:t>
      </w:r>
    </w:p>
    <w:p w:rsidR="006A4937" w:rsidRPr="00FD1B24" w:rsidRDefault="006A4937" w:rsidP="006A4937">
      <w:pPr>
        <w:numPr>
          <w:ilvl w:val="0"/>
          <w:numId w:val="44"/>
        </w:numPr>
        <w:ind w:left="1139" w:hanging="357"/>
        <w:jc w:val="both"/>
        <w:rPr>
          <w:iCs/>
          <w:lang w:val="uk-UA"/>
        </w:rPr>
      </w:pPr>
      <w:r>
        <w:rPr>
          <w:lang w:val="uk-UA"/>
        </w:rPr>
        <w:t>задоволенню особливих потреб внутрішніх і зовнішніх користувачів у більш широкій і глибокій інформації щодо якості даних та процесів державних статистичних спостережень зі статистики цін;</w:t>
      </w:r>
    </w:p>
    <w:p w:rsidR="006A4937" w:rsidRDefault="006A4937" w:rsidP="006A4937">
      <w:pPr>
        <w:numPr>
          <w:ilvl w:val="0"/>
          <w:numId w:val="44"/>
        </w:numPr>
        <w:jc w:val="both"/>
        <w:rPr>
          <w:lang w:val="uk-UA"/>
        </w:rPr>
      </w:pPr>
      <w:r w:rsidRPr="00BA0A73">
        <w:rPr>
          <w:lang w:val="uk-UA"/>
        </w:rPr>
        <w:t xml:space="preserve">розробленню проекту </w:t>
      </w:r>
      <w:r>
        <w:rPr>
          <w:lang w:val="uk-UA"/>
        </w:rPr>
        <w:t>рекомендацій щодо комплексного оцінювання даних та процесів державних статистичних спостережень для забезпечення концептуальної основи для гармонізації звітів з якості.</w:t>
      </w:r>
    </w:p>
    <w:p w:rsidR="006A4937" w:rsidRDefault="006A4937" w:rsidP="006A4937">
      <w:pPr>
        <w:ind w:firstLine="567"/>
        <w:rPr>
          <w:rFonts w:asciiTheme="minorHAnsi" w:hAnsiTheme="minorHAnsi"/>
          <w:lang w:val="uk-UA"/>
        </w:rPr>
      </w:pPr>
    </w:p>
    <w:p w:rsidR="006A4937" w:rsidRPr="006A4937" w:rsidRDefault="006A4937" w:rsidP="006A4937">
      <w:pPr>
        <w:tabs>
          <w:tab w:val="num" w:pos="720"/>
          <w:tab w:val="left" w:pos="1080"/>
        </w:tabs>
        <w:ind w:left="780"/>
        <w:rPr>
          <w:lang w:val="ru-RU"/>
        </w:rPr>
      </w:pPr>
    </w:p>
    <w:p w:rsidR="006A4937" w:rsidRPr="00BA0A73" w:rsidRDefault="006A4937" w:rsidP="006A4937">
      <w:pPr>
        <w:rPr>
          <w:b/>
          <w:sz w:val="28"/>
          <w:szCs w:val="28"/>
          <w:lang w:val="uk-UA"/>
        </w:rPr>
      </w:pPr>
      <w:r w:rsidRPr="00BA0A73">
        <w:rPr>
          <w:b/>
          <w:sz w:val="28"/>
          <w:szCs w:val="28"/>
          <w:lang w:val="uk-UA"/>
        </w:rPr>
        <w:t xml:space="preserve">Мета місії </w:t>
      </w:r>
    </w:p>
    <w:p w:rsidR="006A4937" w:rsidRPr="00BA0A73" w:rsidRDefault="006A4937" w:rsidP="006A4937">
      <w:pPr>
        <w:rPr>
          <w:b/>
          <w:lang w:val="uk-UA"/>
        </w:rPr>
      </w:pPr>
    </w:p>
    <w:p w:rsidR="006A4937" w:rsidRDefault="006A4937" w:rsidP="006A4937">
      <w:pPr>
        <w:rPr>
          <w:lang w:val="uk-UA"/>
        </w:rPr>
      </w:pPr>
      <w:r w:rsidRPr="00BA0A73">
        <w:rPr>
          <w:lang w:val="uk-UA"/>
        </w:rPr>
        <w:t xml:space="preserve">Першочерговою метою місії є: </w:t>
      </w:r>
    </w:p>
    <w:p w:rsidR="006A4937" w:rsidRDefault="006A4937" w:rsidP="006A4937">
      <w:pPr>
        <w:rPr>
          <w:lang w:val="uk-UA"/>
        </w:rPr>
      </w:pPr>
    </w:p>
    <w:p w:rsidR="006A4937" w:rsidRPr="009F37EE" w:rsidRDefault="006A4937" w:rsidP="006A4937">
      <w:pPr>
        <w:numPr>
          <w:ilvl w:val="0"/>
          <w:numId w:val="44"/>
        </w:numPr>
        <w:ind w:left="1139" w:hanging="357"/>
        <w:jc w:val="both"/>
        <w:rPr>
          <w:lang w:val="uk-UA"/>
        </w:rPr>
      </w:pPr>
      <w:r>
        <w:rPr>
          <w:rFonts w:eastAsia="MS Mincho"/>
          <w:lang w:val="uk-UA"/>
        </w:rPr>
        <w:t>визначення єдиних підходів до складання стандартних звітів з якості</w:t>
      </w:r>
      <w:r w:rsidRPr="0038241D">
        <w:rPr>
          <w:rFonts w:eastAsia="MS Mincho"/>
          <w:lang w:val="uk-UA"/>
        </w:rPr>
        <w:t xml:space="preserve"> </w:t>
      </w:r>
      <w:r>
        <w:rPr>
          <w:rFonts w:eastAsia="MS Mincho"/>
          <w:lang w:val="uk-UA"/>
        </w:rPr>
        <w:t>статистичних спостережень за змінами цін на споживчі товари (послуги) та на ринку житла;</w:t>
      </w:r>
    </w:p>
    <w:p w:rsidR="006A4937" w:rsidRDefault="006A4937" w:rsidP="006A4937">
      <w:pPr>
        <w:numPr>
          <w:ilvl w:val="0"/>
          <w:numId w:val="44"/>
        </w:numPr>
        <w:ind w:left="1139" w:hanging="357"/>
        <w:jc w:val="both"/>
        <w:rPr>
          <w:lang w:val="uk-UA"/>
        </w:rPr>
      </w:pPr>
      <w:r>
        <w:rPr>
          <w:lang w:val="uk-UA"/>
        </w:rPr>
        <w:t>обговорення структури звітів з якості статистичних спостережень зі статистики цін;</w:t>
      </w:r>
    </w:p>
    <w:p w:rsidR="006A4937" w:rsidRPr="008E0D07" w:rsidRDefault="006A4937" w:rsidP="006A4937">
      <w:pPr>
        <w:numPr>
          <w:ilvl w:val="0"/>
          <w:numId w:val="44"/>
        </w:numPr>
        <w:ind w:left="1139" w:hanging="357"/>
        <w:jc w:val="both"/>
        <w:rPr>
          <w:lang w:val="uk-UA"/>
        </w:rPr>
      </w:pPr>
      <w:r>
        <w:rPr>
          <w:lang w:val="uk-UA"/>
        </w:rPr>
        <w:t>обговорення питання</w:t>
      </w:r>
      <w:r w:rsidRPr="008E0D07">
        <w:rPr>
          <w:lang w:val="uk-UA"/>
        </w:rPr>
        <w:t xml:space="preserve"> вибірки міських поселень</w:t>
      </w:r>
      <w:r>
        <w:rPr>
          <w:lang w:val="uk-UA"/>
        </w:rPr>
        <w:t>,</w:t>
      </w:r>
      <w:r w:rsidRPr="0038241D">
        <w:rPr>
          <w:lang w:val="uk-UA"/>
        </w:rPr>
        <w:t xml:space="preserve"> </w:t>
      </w:r>
      <w:r w:rsidRPr="00D55B6D">
        <w:rPr>
          <w:lang w:val="uk-UA"/>
        </w:rPr>
        <w:t xml:space="preserve">в яких проводяться спостереження за змінами цін (тарифів) на товари (послуги) для розрахунку </w:t>
      </w:r>
      <w:r>
        <w:rPr>
          <w:lang w:val="uk-UA"/>
        </w:rPr>
        <w:t>індексу споживчих цін,</w:t>
      </w:r>
      <w:r w:rsidRPr="008E0D07">
        <w:rPr>
          <w:lang w:val="uk-UA"/>
        </w:rPr>
        <w:t xml:space="preserve"> та планів Держстату стосовно її зменшення або можливості збору цін тільки на продукти харчування у містах, які входять до IV страти;</w:t>
      </w:r>
    </w:p>
    <w:p w:rsidR="006A4937" w:rsidRPr="0038241D" w:rsidRDefault="006A4937" w:rsidP="006A4937">
      <w:pPr>
        <w:pStyle w:val="aa"/>
        <w:numPr>
          <w:ilvl w:val="0"/>
          <w:numId w:val="44"/>
        </w:numPr>
        <w:jc w:val="both"/>
        <w:rPr>
          <w:rFonts w:eastAsia="MS Mincho"/>
          <w:lang w:val="uk-UA"/>
        </w:rPr>
      </w:pPr>
      <w:r>
        <w:rPr>
          <w:rFonts w:eastAsia="MS Mincho"/>
          <w:lang w:val="uk-UA"/>
        </w:rPr>
        <w:t xml:space="preserve">огляд методологічних засад </w:t>
      </w:r>
      <w:r w:rsidRPr="0038241D">
        <w:rPr>
          <w:rFonts w:eastAsia="MS Mincho"/>
          <w:lang w:val="uk-UA"/>
        </w:rPr>
        <w:t xml:space="preserve">щодо організації статистичного спостереження за змінами цін на ринку житла, </w:t>
      </w:r>
      <w:r>
        <w:rPr>
          <w:rFonts w:eastAsia="MS Mincho"/>
          <w:lang w:val="uk-UA"/>
        </w:rPr>
        <w:t>зокрема процедури</w:t>
      </w:r>
      <w:r w:rsidRPr="0038241D">
        <w:rPr>
          <w:rFonts w:eastAsia="MS Mincho"/>
          <w:lang w:val="uk-UA"/>
        </w:rPr>
        <w:t xml:space="preserve"> формування вибіркової сукупності організацій та вагової структури для розрахунку індексу цін на ринку житла</w:t>
      </w:r>
      <w:r>
        <w:rPr>
          <w:rFonts w:eastAsia="MS Mincho"/>
          <w:lang w:val="uk-UA"/>
        </w:rPr>
        <w:t>.</w:t>
      </w:r>
    </w:p>
    <w:p w:rsidR="006A4937" w:rsidRDefault="006A4937" w:rsidP="006A4937">
      <w:pPr>
        <w:rPr>
          <w:lang w:val="uk-UA"/>
        </w:rPr>
      </w:pPr>
    </w:p>
    <w:p w:rsidR="006A4937" w:rsidRPr="006A4937" w:rsidRDefault="006A4937" w:rsidP="006A4937">
      <w:pPr>
        <w:rPr>
          <w:lang w:val="uk-UA"/>
        </w:rPr>
      </w:pPr>
    </w:p>
    <w:p w:rsidR="006A4937" w:rsidRDefault="006A4937" w:rsidP="006A4937">
      <w:pPr>
        <w:rPr>
          <w:b/>
          <w:sz w:val="28"/>
          <w:szCs w:val="28"/>
          <w:lang w:val="uk-UA"/>
        </w:rPr>
      </w:pPr>
    </w:p>
    <w:p w:rsidR="006A4937" w:rsidRPr="00BA0A73" w:rsidRDefault="006A4937" w:rsidP="006A4937">
      <w:pPr>
        <w:rPr>
          <w:b/>
          <w:sz w:val="28"/>
          <w:szCs w:val="28"/>
          <w:lang w:val="uk-UA"/>
        </w:rPr>
      </w:pPr>
      <w:r w:rsidRPr="00BA0A73">
        <w:rPr>
          <w:b/>
          <w:sz w:val="28"/>
          <w:szCs w:val="28"/>
          <w:lang w:val="uk-UA"/>
        </w:rPr>
        <w:t>Очікувані результати</w:t>
      </w:r>
    </w:p>
    <w:p w:rsidR="006A4937" w:rsidRPr="00BA0A73" w:rsidRDefault="006A4937" w:rsidP="006A4937">
      <w:pPr>
        <w:rPr>
          <w:lang w:val="uk-UA"/>
        </w:rPr>
      </w:pPr>
    </w:p>
    <w:p w:rsidR="006A4937" w:rsidRPr="0038241D" w:rsidRDefault="006A4937" w:rsidP="006A4937">
      <w:pPr>
        <w:tabs>
          <w:tab w:val="left" w:pos="374"/>
        </w:tabs>
        <w:ind w:firstLine="567"/>
        <w:rPr>
          <w:lang w:val="uk-UA"/>
        </w:rPr>
      </w:pPr>
      <w:r>
        <w:rPr>
          <w:lang w:val="uk-UA"/>
        </w:rPr>
        <w:t xml:space="preserve">Надання </w:t>
      </w:r>
      <w:r w:rsidRPr="00BA0A73">
        <w:rPr>
          <w:lang w:val="uk-UA"/>
        </w:rPr>
        <w:t>експерт</w:t>
      </w:r>
      <w:r>
        <w:rPr>
          <w:lang w:val="uk-UA"/>
        </w:rPr>
        <w:t xml:space="preserve">ом рекомендацій щодо уніфікованої методологічної бази оцінювання </w:t>
      </w:r>
      <w:r w:rsidRPr="0038241D">
        <w:rPr>
          <w:lang w:val="uk-UA"/>
        </w:rPr>
        <w:t xml:space="preserve">звітів з </w:t>
      </w:r>
      <w:r>
        <w:rPr>
          <w:lang w:val="uk-UA"/>
        </w:rPr>
        <w:t>якості статистичних даних та процесів державних статистичних спостережень зі статистики цін відповідно до</w:t>
      </w:r>
      <w:r w:rsidRPr="0038241D">
        <w:rPr>
          <w:lang w:val="uk-UA"/>
        </w:rPr>
        <w:t xml:space="preserve"> стандартів ЄС</w:t>
      </w:r>
      <w:r>
        <w:rPr>
          <w:lang w:val="uk-UA"/>
        </w:rPr>
        <w:t xml:space="preserve">; </w:t>
      </w:r>
      <w:r w:rsidRPr="008E0D07">
        <w:rPr>
          <w:lang w:val="uk-UA"/>
        </w:rPr>
        <w:t xml:space="preserve">практичних рекомендацій щодо </w:t>
      </w:r>
      <w:r>
        <w:rPr>
          <w:lang w:val="uk-UA"/>
        </w:rPr>
        <w:t xml:space="preserve">актуалізації </w:t>
      </w:r>
      <w:r w:rsidRPr="008E0D07">
        <w:rPr>
          <w:lang w:val="uk-UA"/>
        </w:rPr>
        <w:t xml:space="preserve">чинної вибірки міських поселень </w:t>
      </w:r>
      <w:r>
        <w:rPr>
          <w:lang w:val="uk-UA"/>
        </w:rPr>
        <w:t>для розрахунку індексу споживчих цін, а також пропозицій стосовно вдосконалення проведення статистичного спостереження на ринку житла.</w:t>
      </w:r>
      <w:r w:rsidRPr="008E0D07">
        <w:rPr>
          <w:lang w:val="uk-UA"/>
        </w:rPr>
        <w:t xml:space="preserve"> </w:t>
      </w:r>
    </w:p>
    <w:p w:rsidR="006A4937" w:rsidRPr="00FB1984" w:rsidRDefault="006A4937" w:rsidP="006A4937">
      <w:pPr>
        <w:pStyle w:val="1"/>
        <w:rPr>
          <w:rFonts w:ascii="Times New Roman" w:hAnsi="Times New Roman"/>
          <w:sz w:val="28"/>
          <w:szCs w:val="28"/>
          <w:lang w:val="uk-UA"/>
        </w:rPr>
      </w:pPr>
      <w:r w:rsidRPr="00FB1984">
        <w:rPr>
          <w:rFonts w:ascii="Times New Roman" w:hAnsi="Times New Roman"/>
          <w:sz w:val="28"/>
          <w:szCs w:val="28"/>
          <w:lang w:val="uk-UA"/>
        </w:rPr>
        <w:t>Заходи</w:t>
      </w:r>
    </w:p>
    <w:p w:rsidR="006A4937" w:rsidRPr="00BA0A73" w:rsidRDefault="006A4937" w:rsidP="006A4937">
      <w:pPr>
        <w:rPr>
          <w:lang w:val="uk-UA"/>
        </w:rPr>
      </w:pPr>
      <w:r w:rsidRPr="00BA0A73">
        <w:rPr>
          <w:lang w:val="uk-UA"/>
        </w:rPr>
        <w:t>Орієнтовний графік місії такий:</w:t>
      </w:r>
    </w:p>
    <w:p w:rsidR="006A4937" w:rsidRPr="00BA0A73" w:rsidRDefault="006A4937" w:rsidP="006A4937">
      <w:pPr>
        <w:rPr>
          <w:i/>
          <w:iCs/>
          <w:lang w:val="uk-UA"/>
        </w:rPr>
      </w:pPr>
    </w:p>
    <w:p w:rsidR="006A4937" w:rsidRPr="000D50F0" w:rsidRDefault="006A4937" w:rsidP="006A4937">
      <w:pPr>
        <w:rPr>
          <w:lang w:val="uk-UA"/>
        </w:rPr>
      </w:pPr>
      <w:r w:rsidRPr="000D50F0">
        <w:rPr>
          <w:lang w:val="uk-UA"/>
        </w:rPr>
        <w:t>Дата: 2</w:t>
      </w:r>
      <w:r>
        <w:rPr>
          <w:lang w:val="uk-UA"/>
        </w:rPr>
        <w:t>7</w:t>
      </w:r>
      <w:r w:rsidRPr="000D50F0">
        <w:rPr>
          <w:lang w:val="uk-UA"/>
        </w:rPr>
        <w:t>.10.2014</w:t>
      </w:r>
    </w:p>
    <w:p w:rsidR="006A4937" w:rsidRPr="00FB1984" w:rsidRDefault="006A4937" w:rsidP="006A4937">
      <w:pPr>
        <w:rPr>
          <w:iCs/>
          <w:lang w:val="uk-UA"/>
        </w:rPr>
      </w:pPr>
      <w:r w:rsidRPr="000D50F0">
        <w:rPr>
          <w:lang w:val="uk-UA"/>
        </w:rPr>
        <w:t>Дата: 3</w:t>
      </w:r>
      <w:r>
        <w:rPr>
          <w:lang w:val="uk-UA"/>
        </w:rPr>
        <w:t>0</w:t>
      </w:r>
      <w:r w:rsidRPr="000D50F0">
        <w:rPr>
          <w:lang w:val="uk-UA"/>
        </w:rPr>
        <w:t>.10.2014</w:t>
      </w:r>
    </w:p>
    <w:p w:rsidR="006A4937" w:rsidRPr="00BA0A73" w:rsidRDefault="006A4937" w:rsidP="006A4937">
      <w:pPr>
        <w:rPr>
          <w:iCs/>
          <w:lang w:val="uk-UA"/>
        </w:rPr>
      </w:pPr>
    </w:p>
    <w:p w:rsidR="006A4937" w:rsidRPr="00BA0A73" w:rsidRDefault="006A4937" w:rsidP="006A4937">
      <w:pPr>
        <w:rPr>
          <w:b/>
          <w:sz w:val="28"/>
          <w:szCs w:val="28"/>
          <w:lang w:val="uk-UA"/>
        </w:rPr>
      </w:pPr>
    </w:p>
    <w:p w:rsidR="006A4937" w:rsidRPr="00BA0A73" w:rsidRDefault="006A4937" w:rsidP="006A4937">
      <w:pPr>
        <w:rPr>
          <w:b/>
          <w:sz w:val="28"/>
          <w:szCs w:val="28"/>
          <w:lang w:val="uk-UA"/>
        </w:rPr>
      </w:pPr>
      <w:r w:rsidRPr="00BA0A73">
        <w:rPr>
          <w:b/>
          <w:sz w:val="28"/>
          <w:szCs w:val="28"/>
          <w:lang w:val="uk-UA"/>
        </w:rPr>
        <w:t xml:space="preserve">Завдання, що мають бути виконані Держстатом для полегшення місії </w:t>
      </w:r>
    </w:p>
    <w:p w:rsidR="006A4937" w:rsidRPr="00BA0A73" w:rsidRDefault="006A4937" w:rsidP="006A4937">
      <w:pPr>
        <w:rPr>
          <w:b/>
          <w:sz w:val="28"/>
          <w:szCs w:val="28"/>
          <w:lang w:val="uk-UA"/>
        </w:rPr>
      </w:pPr>
    </w:p>
    <w:p w:rsidR="006A4937" w:rsidRPr="00BA0A73" w:rsidRDefault="006A4937" w:rsidP="006A4937">
      <w:pPr>
        <w:rPr>
          <w:lang w:val="uk-UA"/>
        </w:rPr>
      </w:pPr>
      <w:r w:rsidRPr="00BA0A73">
        <w:rPr>
          <w:lang w:val="uk-UA"/>
        </w:rPr>
        <w:t>Бенефіціар буде:</w:t>
      </w:r>
    </w:p>
    <w:p w:rsidR="006A4937" w:rsidRPr="00BA0A73" w:rsidRDefault="006A4937" w:rsidP="006A4937">
      <w:pPr>
        <w:rPr>
          <w:lang w:val="uk-UA"/>
        </w:rPr>
      </w:pPr>
      <w:r w:rsidRPr="00BA0A73">
        <w:rPr>
          <w:lang w:val="uk-UA"/>
        </w:rPr>
        <w:t>Будуть присутні керівники підрозділів та виконавці, які безпосередньо займаються організацією, проведенням та вдосконаленням методології статистичних спостережень щодо змін цін на споживчі товари (послуги) та розрахунків індексів.</w:t>
      </w:r>
    </w:p>
    <w:p w:rsidR="006A4937" w:rsidRPr="00BA0A73" w:rsidRDefault="006A4937" w:rsidP="006A4937">
      <w:pPr>
        <w:pStyle w:val="1"/>
        <w:rPr>
          <w:rFonts w:ascii="Times New Roman" w:hAnsi="Times New Roman" w:cs="Times New Roman"/>
          <w:sz w:val="28"/>
          <w:szCs w:val="28"/>
          <w:lang w:val="uk-UA"/>
        </w:rPr>
      </w:pPr>
      <w:r w:rsidRPr="00BA0A73">
        <w:rPr>
          <w:rFonts w:ascii="Times New Roman" w:hAnsi="Times New Roman" w:cs="Times New Roman"/>
          <w:sz w:val="28"/>
          <w:szCs w:val="28"/>
          <w:lang w:val="uk-UA"/>
        </w:rPr>
        <w:t>Консультант та партнер</w:t>
      </w:r>
    </w:p>
    <w:p w:rsidR="006A4937" w:rsidRPr="00BA0A73" w:rsidRDefault="006A4937" w:rsidP="006A4937">
      <w:pPr>
        <w:rPr>
          <w:lang w:val="uk-UA"/>
        </w:rPr>
      </w:pPr>
      <w:r w:rsidRPr="00BA0A73">
        <w:rPr>
          <w:lang w:val="uk-UA"/>
        </w:rPr>
        <w:t>Місія реалізовуватиметься спільно з:</w:t>
      </w:r>
    </w:p>
    <w:p w:rsidR="006A4937" w:rsidRPr="00BA0A73" w:rsidRDefault="006A4937" w:rsidP="006A4937">
      <w:pPr>
        <w:rPr>
          <w:lang w:val="uk-UA"/>
        </w:rPr>
      </w:pPr>
      <w:r w:rsidRPr="00287FDF">
        <w:rPr>
          <w:lang w:val="uk-UA"/>
        </w:rPr>
        <w:t>Девідом Фенвік</w:t>
      </w:r>
      <w:r>
        <w:rPr>
          <w:lang w:val="uk-UA"/>
        </w:rPr>
        <w:t>ом (Англія)</w:t>
      </w:r>
    </w:p>
    <w:p w:rsidR="006A4937" w:rsidRPr="00BA0A73" w:rsidRDefault="006A4937" w:rsidP="006A4937">
      <w:pPr>
        <w:rPr>
          <w:lang w:val="uk-UA"/>
        </w:rPr>
      </w:pPr>
    </w:p>
    <w:p w:rsidR="006A4937" w:rsidRPr="00BA0A73" w:rsidRDefault="006A4937" w:rsidP="006A4937">
      <w:pPr>
        <w:rPr>
          <w:lang w:val="uk-UA"/>
        </w:rPr>
      </w:pPr>
      <w:r w:rsidRPr="00BA0A73">
        <w:rPr>
          <w:lang w:val="uk-UA"/>
        </w:rPr>
        <w:t xml:space="preserve"> </w:t>
      </w:r>
    </w:p>
    <w:p w:rsidR="006A4937" w:rsidRPr="00BA0A73" w:rsidRDefault="006A4937" w:rsidP="006A4937">
      <w:pPr>
        <w:rPr>
          <w:lang w:val="uk-UA"/>
        </w:rPr>
      </w:pPr>
      <w:r w:rsidRPr="00BA0A73">
        <w:rPr>
          <w:lang w:val="uk-UA"/>
        </w:rPr>
        <w:t xml:space="preserve">Партнером з країни-бенефіціара буде: </w:t>
      </w:r>
    </w:p>
    <w:p w:rsidR="006A4937" w:rsidRPr="00BA0A73" w:rsidRDefault="006A4937" w:rsidP="006A4937">
      <w:pPr>
        <w:rPr>
          <w:lang w:val="uk-UA"/>
        </w:rPr>
      </w:pPr>
      <w:smartTag w:uri="urn:schemas-microsoft-com:office:smarttags" w:element="PersonName">
        <w:r w:rsidRPr="00BA0A73">
          <w:rPr>
            <w:lang w:val="uk-UA"/>
          </w:rPr>
          <w:t>Калабуха О.С.</w:t>
        </w:r>
      </w:smartTag>
      <w:r w:rsidRPr="00BA0A73">
        <w:rPr>
          <w:lang w:val="uk-UA"/>
        </w:rPr>
        <w:t>, директор департаменту статистики цін Держстату України;</w:t>
      </w:r>
    </w:p>
    <w:p w:rsidR="006A4937" w:rsidRPr="00BA0A73" w:rsidRDefault="006A4937" w:rsidP="006A4937">
      <w:pPr>
        <w:rPr>
          <w:lang w:val="uk-UA"/>
        </w:rPr>
      </w:pPr>
      <w:smartTag w:uri="urn:schemas-microsoft-com:office:smarttags" w:element="PersonName">
        <w:r w:rsidRPr="00BA0A73">
          <w:rPr>
            <w:lang w:val="uk-UA"/>
          </w:rPr>
          <w:t>Шкурська І.Є.</w:t>
        </w:r>
      </w:smartTag>
      <w:r w:rsidRPr="00BA0A73">
        <w:rPr>
          <w:lang w:val="uk-UA"/>
        </w:rPr>
        <w:t>,; заступник директора департаменту;</w:t>
      </w:r>
    </w:p>
    <w:p w:rsidR="006A4937" w:rsidRDefault="006A4937" w:rsidP="006A4937">
      <w:pPr>
        <w:rPr>
          <w:lang w:val="uk-UA"/>
        </w:rPr>
      </w:pPr>
      <w:r w:rsidRPr="00BA0A73">
        <w:rPr>
          <w:lang w:val="uk-UA"/>
        </w:rPr>
        <w:t>Профацька Н.В., начальник відділу статистики споживчих цін</w:t>
      </w:r>
      <w:r>
        <w:rPr>
          <w:lang w:val="uk-UA"/>
        </w:rPr>
        <w:t>;</w:t>
      </w:r>
    </w:p>
    <w:p w:rsidR="006A4937" w:rsidRDefault="006A4937" w:rsidP="006A4937">
      <w:pPr>
        <w:rPr>
          <w:lang w:val="uk-UA"/>
        </w:rPr>
      </w:pPr>
      <w:r>
        <w:rPr>
          <w:lang w:val="uk-UA"/>
        </w:rPr>
        <w:t>Лисенко Н.І., головний спеціаліст-економіст відділу міжнародних зіставлень;</w:t>
      </w:r>
    </w:p>
    <w:p w:rsidR="006A4937" w:rsidRPr="00BA0A73" w:rsidRDefault="006A4937" w:rsidP="006A4937">
      <w:pPr>
        <w:rPr>
          <w:lang w:val="uk-UA"/>
        </w:rPr>
      </w:pPr>
      <w:r>
        <w:rPr>
          <w:lang w:val="uk-UA"/>
        </w:rPr>
        <w:t>Кузьміна Л.А., консультант з питань статистики цін будівництва, транспорту, зв’язку та житла</w:t>
      </w:r>
    </w:p>
    <w:p w:rsidR="006A4937" w:rsidRPr="00BA0A73" w:rsidRDefault="006A4937" w:rsidP="006A4937">
      <w:pPr>
        <w:pStyle w:val="1"/>
        <w:rPr>
          <w:rFonts w:ascii="Times New Roman" w:hAnsi="Times New Roman" w:cs="Times New Roman"/>
          <w:sz w:val="28"/>
          <w:szCs w:val="28"/>
          <w:lang w:val="uk-UA"/>
        </w:rPr>
      </w:pPr>
      <w:r w:rsidRPr="00BA0A73">
        <w:rPr>
          <w:rFonts w:ascii="Times New Roman" w:hAnsi="Times New Roman" w:cs="Times New Roman"/>
          <w:sz w:val="28"/>
          <w:szCs w:val="28"/>
          <w:lang w:val="uk-UA"/>
        </w:rPr>
        <w:t>Час</w:t>
      </w:r>
    </w:p>
    <w:p w:rsidR="006A4937" w:rsidRPr="00BA0A73" w:rsidRDefault="006A4937" w:rsidP="006A4937">
      <w:pPr>
        <w:rPr>
          <w:lang w:val="uk-UA"/>
        </w:rPr>
      </w:pPr>
      <w:r w:rsidRPr="00BA0A73">
        <w:rPr>
          <w:lang w:val="uk-UA"/>
        </w:rPr>
        <w:t xml:space="preserve">Місія здійснюватиметься протягом </w:t>
      </w:r>
      <w:r>
        <w:rPr>
          <w:lang w:val="uk-UA"/>
        </w:rPr>
        <w:t>27-30 жовтня 2014 року</w:t>
      </w:r>
    </w:p>
    <w:p w:rsidR="006A4937" w:rsidRPr="00BA0A73" w:rsidRDefault="006A4937" w:rsidP="006A4937">
      <w:pPr>
        <w:pStyle w:val="1"/>
        <w:rPr>
          <w:rFonts w:ascii="Times New Roman" w:hAnsi="Times New Roman" w:cs="Times New Roman"/>
          <w:sz w:val="28"/>
          <w:szCs w:val="28"/>
          <w:lang w:val="uk-UA"/>
        </w:rPr>
      </w:pPr>
      <w:r w:rsidRPr="00BA0A73">
        <w:rPr>
          <w:rFonts w:ascii="Times New Roman" w:hAnsi="Times New Roman" w:cs="Times New Roman"/>
          <w:sz w:val="28"/>
          <w:szCs w:val="28"/>
          <w:lang w:val="uk-UA"/>
        </w:rPr>
        <w:t>Звіт</w:t>
      </w:r>
    </w:p>
    <w:p w:rsidR="006A4937" w:rsidRPr="00BA0A73" w:rsidRDefault="006A4937" w:rsidP="006A4937">
      <w:pPr>
        <w:rPr>
          <w:lang w:val="uk-UA"/>
        </w:rPr>
      </w:pPr>
      <w:r w:rsidRPr="00BA0A73">
        <w:rPr>
          <w:lang w:val="uk-UA"/>
        </w:rPr>
        <w:t xml:space="preserve">Підсумковий звіт за результатами місії має бути наданий не пізніше двох тижнів після завершення місії. </w:t>
      </w:r>
    </w:p>
    <w:p w:rsidR="006A4937" w:rsidRPr="00BA0A73" w:rsidRDefault="006A4937" w:rsidP="006A4937">
      <w:pPr>
        <w:rPr>
          <w:lang w:val="uk-UA"/>
        </w:rPr>
      </w:pPr>
    </w:p>
    <w:p w:rsidR="006A4937" w:rsidRPr="00BA0A73" w:rsidRDefault="006A4937" w:rsidP="006A4937">
      <w:pPr>
        <w:rPr>
          <w:lang w:val="uk-UA"/>
        </w:rPr>
      </w:pPr>
    </w:p>
    <w:p w:rsidR="00DA78AD" w:rsidRPr="006A4937" w:rsidRDefault="004567A4" w:rsidP="00DA78AD">
      <w:pPr>
        <w:rPr>
          <w:lang w:val="ru-RU"/>
        </w:rPr>
      </w:pPr>
      <w:r w:rsidRPr="006A4937">
        <w:rPr>
          <w:lang w:val="ru-RU"/>
        </w:rPr>
        <w:br w:type="page"/>
      </w:r>
    </w:p>
    <w:p w:rsidR="00557634" w:rsidRPr="006A4937" w:rsidRDefault="00557634" w:rsidP="00557634">
      <w:pPr>
        <w:jc w:val="both"/>
        <w:rPr>
          <w:lang w:val="ru-RU"/>
        </w:rPr>
      </w:pPr>
    </w:p>
    <w:p w:rsidR="004D67C6" w:rsidRPr="006A4937" w:rsidRDefault="004D67C6" w:rsidP="00557634">
      <w:pPr>
        <w:jc w:val="both"/>
        <w:rPr>
          <w:lang w:val="ru-RU"/>
        </w:rPr>
      </w:pPr>
    </w:p>
    <w:p w:rsidR="004D67C6" w:rsidRPr="006A4937" w:rsidRDefault="004D67C6" w:rsidP="004D67C6">
      <w:pPr>
        <w:jc w:val="both"/>
        <w:rPr>
          <w:lang w:val="ru-RU"/>
        </w:rPr>
      </w:pPr>
    </w:p>
    <w:p w:rsidR="00486FC7" w:rsidRPr="00FD00AD" w:rsidRDefault="00FD00AD" w:rsidP="00DF6273">
      <w:pPr>
        <w:pStyle w:val="1"/>
        <w:jc w:val="both"/>
        <w:rPr>
          <w:rFonts w:ascii="Times New Roman" w:hAnsi="Times New Roman" w:cs="Times New Roman"/>
          <w:lang w:val="ru-RU"/>
        </w:rPr>
      </w:pPr>
      <w:bookmarkStart w:id="6" w:name="_Toc285540452"/>
      <w:r>
        <w:rPr>
          <w:rFonts w:ascii="Times New Roman" w:hAnsi="Times New Roman" w:cs="Times New Roman"/>
          <w:lang w:val="uk-UA"/>
        </w:rPr>
        <w:t>Додаток</w:t>
      </w:r>
      <w:r w:rsidR="006534E6" w:rsidRPr="00FD00AD">
        <w:rPr>
          <w:rFonts w:ascii="Times New Roman" w:hAnsi="Times New Roman" w:cs="Times New Roman"/>
          <w:lang w:val="ru-RU"/>
        </w:rPr>
        <w:t xml:space="preserve"> </w:t>
      </w:r>
      <w:r w:rsidR="00A762F1" w:rsidRPr="00FD00AD">
        <w:rPr>
          <w:rFonts w:ascii="Times New Roman" w:hAnsi="Times New Roman" w:cs="Times New Roman"/>
          <w:lang w:val="ru-RU"/>
        </w:rPr>
        <w:t>2</w:t>
      </w:r>
      <w:r w:rsidR="006534E6" w:rsidRPr="00FD00AD">
        <w:rPr>
          <w:rFonts w:ascii="Times New Roman" w:hAnsi="Times New Roman" w:cs="Times New Roman"/>
          <w:lang w:val="ru-RU"/>
        </w:rPr>
        <w:t xml:space="preserve">. </w:t>
      </w:r>
      <w:r w:rsidR="00D07472">
        <w:rPr>
          <w:rFonts w:ascii="Times New Roman" w:hAnsi="Times New Roman" w:cs="Times New Roman"/>
          <w:lang w:val="uk-UA"/>
        </w:rPr>
        <w:t>Особи</w:t>
      </w:r>
      <w:r>
        <w:rPr>
          <w:rFonts w:ascii="Times New Roman" w:hAnsi="Times New Roman" w:cs="Times New Roman"/>
          <w:lang w:val="uk-UA"/>
        </w:rPr>
        <w:t xml:space="preserve">, з якими було проведено зустріч </w:t>
      </w:r>
      <w:bookmarkEnd w:id="6"/>
    </w:p>
    <w:p w:rsidR="00486FC7" w:rsidRPr="00FD00AD" w:rsidRDefault="00486FC7" w:rsidP="00486FC7">
      <w:pPr>
        <w:jc w:val="both"/>
        <w:rPr>
          <w:sz w:val="22"/>
          <w:lang w:val="ru-RU"/>
        </w:rPr>
      </w:pPr>
    </w:p>
    <w:p w:rsidR="00A762F1" w:rsidRDefault="00FD00AD" w:rsidP="00486FC7">
      <w:pPr>
        <w:jc w:val="both"/>
        <w:rPr>
          <w:sz w:val="22"/>
          <w:u w:val="single"/>
        </w:rPr>
      </w:pPr>
      <w:r>
        <w:rPr>
          <w:sz w:val="22"/>
          <w:u w:val="single"/>
          <w:lang w:val="uk-UA"/>
        </w:rPr>
        <w:t>ДССУ</w:t>
      </w:r>
      <w:r w:rsidR="000411B9">
        <w:rPr>
          <w:sz w:val="22"/>
          <w:u w:val="single"/>
        </w:rPr>
        <w:t>:</w:t>
      </w:r>
    </w:p>
    <w:p w:rsidR="006A4937" w:rsidRDefault="006A4937" w:rsidP="004567A4">
      <w:pPr>
        <w:rPr>
          <w:lang w:val="uk-UA"/>
        </w:rPr>
      </w:pPr>
    </w:p>
    <w:p w:rsidR="006A4937" w:rsidRPr="00BA0A73" w:rsidRDefault="006A4937" w:rsidP="006A4937">
      <w:pPr>
        <w:rPr>
          <w:lang w:val="uk-UA"/>
        </w:rPr>
      </w:pPr>
      <w:r w:rsidRPr="00BA0A73">
        <w:rPr>
          <w:lang w:val="uk-UA"/>
        </w:rPr>
        <w:t>Калабуха О.С., директор департаменту статистики цін</w:t>
      </w:r>
      <w:r>
        <w:rPr>
          <w:lang w:val="uk-UA"/>
        </w:rPr>
        <w:t>, ДССУ</w:t>
      </w:r>
    </w:p>
    <w:p w:rsidR="006A4937" w:rsidRPr="00BA0A73" w:rsidRDefault="006A4937" w:rsidP="006A4937">
      <w:pPr>
        <w:rPr>
          <w:lang w:val="uk-UA"/>
        </w:rPr>
      </w:pPr>
      <w:r w:rsidRPr="00BA0A73">
        <w:rPr>
          <w:lang w:val="uk-UA"/>
        </w:rPr>
        <w:t>Шкурська І.Є.,; з</w:t>
      </w:r>
      <w:r>
        <w:rPr>
          <w:lang w:val="uk-UA"/>
        </w:rPr>
        <w:t>аступник директора департаменту статистики цін, ДССУ</w:t>
      </w:r>
    </w:p>
    <w:p w:rsidR="006A4937" w:rsidRDefault="006A4937" w:rsidP="006A4937">
      <w:pPr>
        <w:rPr>
          <w:lang w:val="uk-UA"/>
        </w:rPr>
      </w:pPr>
      <w:r w:rsidRPr="00BA0A73">
        <w:rPr>
          <w:lang w:val="uk-UA"/>
        </w:rPr>
        <w:t>Профацька Н.В., начальник відділу статистики споживчих цін</w:t>
      </w:r>
    </w:p>
    <w:p w:rsidR="006A4937" w:rsidRDefault="006A4937" w:rsidP="006A4937">
      <w:pPr>
        <w:rPr>
          <w:lang w:val="uk-UA"/>
        </w:rPr>
      </w:pPr>
      <w:r>
        <w:rPr>
          <w:lang w:val="uk-UA"/>
        </w:rPr>
        <w:t>Лисенко Н.І., головний спеціаліст-економіст відділу міжнародних зіставлень</w:t>
      </w:r>
    </w:p>
    <w:p w:rsidR="006A4937" w:rsidRDefault="006A4937" w:rsidP="006A4937">
      <w:pPr>
        <w:rPr>
          <w:lang w:val="uk-UA"/>
        </w:rPr>
      </w:pPr>
      <w:r>
        <w:rPr>
          <w:lang w:val="uk-UA"/>
        </w:rPr>
        <w:t>Кузьміна Л.А., консультант з питань статистики цін будівництва, транспорту, зв’язку та житла</w:t>
      </w:r>
    </w:p>
    <w:p w:rsidR="006A4937" w:rsidRDefault="006A4937" w:rsidP="006A4937">
      <w:pPr>
        <w:rPr>
          <w:lang w:val="uk-UA"/>
        </w:rPr>
      </w:pPr>
    </w:p>
    <w:p w:rsidR="006A4937" w:rsidRPr="006A4937" w:rsidRDefault="006A4937" w:rsidP="006A4937">
      <w:pPr>
        <w:rPr>
          <w:u w:val="single"/>
          <w:lang w:val="ru-RU"/>
        </w:rPr>
      </w:pPr>
      <w:r w:rsidRPr="006A4937">
        <w:rPr>
          <w:u w:val="single"/>
          <w:lang w:val="uk-UA"/>
        </w:rPr>
        <w:t xml:space="preserve">Команда </w:t>
      </w:r>
      <w:r>
        <w:rPr>
          <w:u w:val="single"/>
          <w:lang w:val="uk-UA"/>
        </w:rPr>
        <w:t xml:space="preserve">постійного радника </w:t>
      </w:r>
      <w:r>
        <w:rPr>
          <w:u w:val="single"/>
          <w:lang w:val="ru-RU"/>
        </w:rPr>
        <w:t>проекту:</w:t>
      </w:r>
    </w:p>
    <w:p w:rsidR="006A4937" w:rsidRDefault="006A4937" w:rsidP="006A4937">
      <w:pPr>
        <w:jc w:val="both"/>
        <w:rPr>
          <w:sz w:val="22"/>
          <w:lang w:val="uk-UA"/>
        </w:rPr>
      </w:pPr>
      <w:r>
        <w:rPr>
          <w:sz w:val="22"/>
          <w:szCs w:val="22"/>
          <w:lang w:val="uk-UA"/>
        </w:rPr>
        <w:t>Ірина Берштейн</w:t>
      </w:r>
      <w:r>
        <w:rPr>
          <w:sz w:val="22"/>
          <w:lang w:val="uk-UA"/>
        </w:rPr>
        <w:t xml:space="preserve">, постійник радник Проекту Твіннінг та її команда підтримки, включаючи перекладача. </w:t>
      </w:r>
    </w:p>
    <w:p w:rsidR="006A4937" w:rsidRPr="006A4937" w:rsidRDefault="006A4937" w:rsidP="004567A4">
      <w:pPr>
        <w:rPr>
          <w:lang w:val="uk-UA"/>
        </w:rPr>
      </w:pPr>
    </w:p>
    <w:p w:rsidR="00486FC7" w:rsidRPr="00AD3566" w:rsidRDefault="004567A4" w:rsidP="00486FC7">
      <w:pPr>
        <w:jc w:val="both"/>
        <w:rPr>
          <w:b/>
          <w:sz w:val="22"/>
        </w:rPr>
      </w:pPr>
      <w:r>
        <w:rPr>
          <w:b/>
          <w:sz w:val="22"/>
        </w:rPr>
        <w:br w:type="page"/>
      </w:r>
    </w:p>
    <w:p w:rsidR="004567A4" w:rsidRDefault="00D82C14" w:rsidP="004567A4">
      <w:pPr>
        <w:pStyle w:val="1"/>
        <w:jc w:val="both"/>
        <w:rPr>
          <w:rFonts w:ascii="Times New Roman" w:hAnsi="Times New Roman" w:cs="Times New Roman"/>
        </w:rPr>
      </w:pPr>
      <w:r>
        <w:rPr>
          <w:rFonts w:ascii="Times New Roman" w:hAnsi="Times New Roman" w:cs="Times New Roman"/>
          <w:lang w:val="uk-UA"/>
        </w:rPr>
        <w:t>Додаток</w:t>
      </w:r>
      <w:r w:rsidR="004567A4" w:rsidRPr="00AD3566">
        <w:rPr>
          <w:rFonts w:ascii="Times New Roman" w:hAnsi="Times New Roman" w:cs="Times New Roman"/>
        </w:rPr>
        <w:t xml:space="preserve"> </w:t>
      </w:r>
      <w:r w:rsidR="004567A4">
        <w:rPr>
          <w:rFonts w:ascii="Times New Roman" w:hAnsi="Times New Roman" w:cs="Times New Roman"/>
        </w:rPr>
        <w:t>3</w:t>
      </w:r>
      <w:r w:rsidR="004567A4" w:rsidRPr="00AD3566">
        <w:rPr>
          <w:rFonts w:ascii="Times New Roman" w:hAnsi="Times New Roman" w:cs="Times New Roman"/>
        </w:rPr>
        <w:t xml:space="preserve">. </w:t>
      </w:r>
      <w:r>
        <w:rPr>
          <w:rFonts w:ascii="Times New Roman" w:hAnsi="Times New Roman" w:cs="Times New Roman"/>
          <w:lang w:val="uk-UA"/>
        </w:rPr>
        <w:t>Контрольний список</w:t>
      </w:r>
    </w:p>
    <w:p w:rsidR="004567A4" w:rsidRDefault="004567A4" w:rsidP="004567A4"/>
    <w:p w:rsidR="004567A4" w:rsidRPr="004567A4" w:rsidRDefault="004567A4" w:rsidP="004567A4"/>
    <w:p w:rsidR="00A23D7D" w:rsidRPr="00C134E7" w:rsidRDefault="00A23D7D" w:rsidP="00A23D7D">
      <w:pPr>
        <w:jc w:val="both"/>
        <w:rPr>
          <w:sz w:val="22"/>
        </w:rPr>
      </w:pPr>
    </w:p>
    <w:sectPr w:rsidR="00A23D7D" w:rsidRPr="00C134E7" w:rsidSect="00C0532D">
      <w:headerReference w:type="default" r:id="rId21"/>
      <w:footerReference w:type="even" r:id="rId22"/>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D7F" w:rsidRDefault="001B3D7F">
      <w:r>
        <w:separator/>
      </w:r>
    </w:p>
  </w:endnote>
  <w:endnote w:type="continuationSeparator" w:id="0">
    <w:p w:rsidR="001B3D7F" w:rsidRDefault="001B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D7F" w:rsidRDefault="001B3D7F" w:rsidP="00C0532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B3D7F" w:rsidRDefault="001B3D7F" w:rsidP="00C0532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D7F" w:rsidRDefault="001B3D7F" w:rsidP="00C0532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C5886">
      <w:rPr>
        <w:rStyle w:val="a7"/>
        <w:noProof/>
      </w:rPr>
      <w:t>17</w:t>
    </w:r>
    <w:r>
      <w:rPr>
        <w:rStyle w:val="a7"/>
      </w:rPr>
      <w:fldChar w:fldCharType="end"/>
    </w:r>
  </w:p>
  <w:p w:rsidR="001B3D7F" w:rsidRDefault="001B3D7F" w:rsidP="00C0532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D7F" w:rsidRDefault="001B3D7F">
      <w:r>
        <w:separator/>
      </w:r>
    </w:p>
  </w:footnote>
  <w:footnote w:type="continuationSeparator" w:id="0">
    <w:p w:rsidR="001B3D7F" w:rsidRDefault="001B3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D7F" w:rsidRPr="004C6C02" w:rsidRDefault="001B3D7F" w:rsidP="00712325">
    <w:r w:rsidRPr="004C6C02">
      <w:t>UA10/ENP-PCA/FI/26</w:t>
    </w:r>
    <w:r>
      <w:tab/>
    </w:r>
  </w:p>
  <w:p w:rsidR="001B3D7F" w:rsidRPr="001F1EB1" w:rsidRDefault="001B3D7F">
    <w:pPr>
      <w:pStyle w:val="a8"/>
    </w:pPr>
    <w:r>
      <w:tab/>
    </w:r>
    <w:r w:rsidR="000C5886">
      <w:fldChar w:fldCharType="begin"/>
    </w:r>
    <w:r w:rsidR="000C5886">
      <w:instrText xml:space="preserve"> PAGE </w:instrText>
    </w:r>
    <w:r w:rsidR="000C5886">
      <w:fldChar w:fldCharType="separate"/>
    </w:r>
    <w:r w:rsidR="000C5886">
      <w:rPr>
        <w:noProof/>
      </w:rPr>
      <w:t>17</w:t>
    </w:r>
    <w:r w:rsidR="000C5886">
      <w:rPr>
        <w:noProof/>
      </w:rPr>
      <w:fldChar w:fldCharType="end"/>
    </w:r>
    <w:r w:rsidRPr="000026B5">
      <w:t xml:space="preserve"> of </w:t>
    </w:r>
    <w:r w:rsidR="000C5886">
      <w:fldChar w:fldCharType="begin"/>
    </w:r>
    <w:r w:rsidR="000C5886">
      <w:instrText xml:space="preserve"> NUMPAGES </w:instrText>
    </w:r>
    <w:r w:rsidR="000C5886">
      <w:fldChar w:fldCharType="separate"/>
    </w:r>
    <w:r w:rsidR="000C5886">
      <w:rPr>
        <w:noProof/>
      </w:rPr>
      <w:t>17</w:t>
    </w:r>
    <w:r w:rsidR="000C588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B0B"/>
    <w:multiLevelType w:val="hybridMultilevel"/>
    <w:tmpl w:val="EEC49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586172"/>
    <w:multiLevelType w:val="hybridMultilevel"/>
    <w:tmpl w:val="220A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ED0D55"/>
    <w:multiLevelType w:val="hybridMultilevel"/>
    <w:tmpl w:val="2194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D010BB"/>
    <w:multiLevelType w:val="hybridMultilevel"/>
    <w:tmpl w:val="2FD8F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CD50BF"/>
    <w:multiLevelType w:val="hybridMultilevel"/>
    <w:tmpl w:val="EE5A7644"/>
    <w:lvl w:ilvl="0" w:tplc="08090001">
      <w:start w:val="1"/>
      <w:numFmt w:val="bullet"/>
      <w:lvlText w:val=""/>
      <w:lvlJc w:val="left"/>
      <w:pPr>
        <w:tabs>
          <w:tab w:val="num" w:pos="360"/>
        </w:tabs>
        <w:ind w:left="360" w:hanging="360"/>
      </w:pPr>
      <w:rPr>
        <w:rFonts w:ascii="Symbol" w:hAnsi="Symbol" w:hint="default"/>
        <w:b/>
        <w:bCs/>
        <w:i w:val="0"/>
        <w:iCs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E6B5CB8"/>
    <w:multiLevelType w:val="hybridMultilevel"/>
    <w:tmpl w:val="8968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F822FD"/>
    <w:multiLevelType w:val="hybridMultilevel"/>
    <w:tmpl w:val="08B8FDDE"/>
    <w:lvl w:ilvl="0" w:tplc="08090001">
      <w:start w:val="1"/>
      <w:numFmt w:val="bullet"/>
      <w:lvlText w:val=""/>
      <w:lvlJc w:val="left"/>
      <w:pPr>
        <w:tabs>
          <w:tab w:val="num" w:pos="360"/>
        </w:tabs>
        <w:ind w:left="360" w:hanging="360"/>
      </w:pPr>
      <w:rPr>
        <w:rFonts w:ascii="Symbol" w:hAnsi="Symbol" w:hint="default"/>
        <w:b/>
        <w:bCs/>
        <w:i w:val="0"/>
        <w:iCs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11B5B2F"/>
    <w:multiLevelType w:val="hybridMultilevel"/>
    <w:tmpl w:val="BB0A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6266B4"/>
    <w:multiLevelType w:val="hybridMultilevel"/>
    <w:tmpl w:val="9398C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105CA9"/>
    <w:multiLevelType w:val="hybridMultilevel"/>
    <w:tmpl w:val="E71CBA90"/>
    <w:lvl w:ilvl="0" w:tplc="3CF28AFA">
      <w:start w:val="1"/>
      <w:numFmt w:val="decimal"/>
      <w:pStyle w:val="ParagraphNumbering"/>
      <w:lvlText w:val="%1.     "/>
      <w:lvlJc w:val="left"/>
      <w:pPr>
        <w:tabs>
          <w:tab w:val="num" w:pos="720"/>
        </w:tabs>
        <w:ind w:left="0" w:firstLine="0"/>
      </w:pPr>
      <w:rPr>
        <w:rFonts w:hint="default"/>
      </w:rPr>
    </w:lvl>
    <w:lvl w:ilvl="1" w:tplc="8D82521C">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rPr>
        <w:rFonts w:hint="default"/>
        <w:sz w:val="28"/>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C15B67"/>
    <w:multiLevelType w:val="hybridMultilevel"/>
    <w:tmpl w:val="7E2CDC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223177BF"/>
    <w:multiLevelType w:val="hybridMultilevel"/>
    <w:tmpl w:val="3FAC1D04"/>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nsid w:val="23A818E4"/>
    <w:multiLevelType w:val="hybridMultilevel"/>
    <w:tmpl w:val="3ABA5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AE0F23"/>
    <w:multiLevelType w:val="hybridMultilevel"/>
    <w:tmpl w:val="6FE2A26A"/>
    <w:lvl w:ilvl="0" w:tplc="8CB6BB78">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4">
    <w:nsid w:val="27105BF7"/>
    <w:multiLevelType w:val="hybridMultilevel"/>
    <w:tmpl w:val="B71C4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E2715F"/>
    <w:multiLevelType w:val="hybridMultilevel"/>
    <w:tmpl w:val="27B47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1622D8"/>
    <w:multiLevelType w:val="hybridMultilevel"/>
    <w:tmpl w:val="420AF67E"/>
    <w:lvl w:ilvl="0" w:tplc="E3364FDA">
      <w:start w:val="1990"/>
      <w:numFmt w:val="bullet"/>
      <w:pStyle w:val="StilArial10ptPodebljano"/>
      <w:lvlText w:val=""/>
      <w:lvlJc w:val="left"/>
      <w:pPr>
        <w:tabs>
          <w:tab w:val="num" w:pos="0"/>
        </w:tabs>
        <w:ind w:left="0" w:firstLine="0"/>
      </w:pPr>
      <w:rPr>
        <w:rFonts w:ascii="Symbol" w:hAnsi="Symbol" w:hint="default"/>
      </w:rPr>
    </w:lvl>
    <w:lvl w:ilvl="1" w:tplc="041A0003" w:tentative="1">
      <w:start w:val="1"/>
      <w:numFmt w:val="bullet"/>
      <w:lvlText w:val="o"/>
      <w:lvlJc w:val="left"/>
      <w:pPr>
        <w:tabs>
          <w:tab w:val="num" w:pos="306"/>
        </w:tabs>
        <w:ind w:left="306" w:hanging="360"/>
      </w:pPr>
      <w:rPr>
        <w:rFonts w:ascii="Courier New" w:hAnsi="Courier New" w:cs="Courier New" w:hint="default"/>
      </w:rPr>
    </w:lvl>
    <w:lvl w:ilvl="2" w:tplc="041A0005" w:tentative="1">
      <w:start w:val="1"/>
      <w:numFmt w:val="bullet"/>
      <w:lvlText w:val=""/>
      <w:lvlJc w:val="left"/>
      <w:pPr>
        <w:tabs>
          <w:tab w:val="num" w:pos="1026"/>
        </w:tabs>
        <w:ind w:left="1026" w:hanging="360"/>
      </w:pPr>
      <w:rPr>
        <w:rFonts w:ascii="Wingdings" w:hAnsi="Wingdings" w:hint="default"/>
      </w:rPr>
    </w:lvl>
    <w:lvl w:ilvl="3" w:tplc="041A0001" w:tentative="1">
      <w:start w:val="1"/>
      <w:numFmt w:val="bullet"/>
      <w:lvlText w:val=""/>
      <w:lvlJc w:val="left"/>
      <w:pPr>
        <w:tabs>
          <w:tab w:val="num" w:pos="1746"/>
        </w:tabs>
        <w:ind w:left="1746" w:hanging="360"/>
      </w:pPr>
      <w:rPr>
        <w:rFonts w:ascii="Symbol" w:hAnsi="Symbol" w:hint="default"/>
      </w:rPr>
    </w:lvl>
    <w:lvl w:ilvl="4" w:tplc="041A0003" w:tentative="1">
      <w:start w:val="1"/>
      <w:numFmt w:val="bullet"/>
      <w:lvlText w:val="o"/>
      <w:lvlJc w:val="left"/>
      <w:pPr>
        <w:tabs>
          <w:tab w:val="num" w:pos="2466"/>
        </w:tabs>
        <w:ind w:left="2466" w:hanging="360"/>
      </w:pPr>
      <w:rPr>
        <w:rFonts w:ascii="Courier New" w:hAnsi="Courier New" w:cs="Courier New" w:hint="default"/>
      </w:rPr>
    </w:lvl>
    <w:lvl w:ilvl="5" w:tplc="041A0005" w:tentative="1">
      <w:start w:val="1"/>
      <w:numFmt w:val="bullet"/>
      <w:lvlText w:val=""/>
      <w:lvlJc w:val="left"/>
      <w:pPr>
        <w:tabs>
          <w:tab w:val="num" w:pos="3186"/>
        </w:tabs>
        <w:ind w:left="3186" w:hanging="360"/>
      </w:pPr>
      <w:rPr>
        <w:rFonts w:ascii="Wingdings" w:hAnsi="Wingdings" w:hint="default"/>
      </w:rPr>
    </w:lvl>
    <w:lvl w:ilvl="6" w:tplc="041A0001" w:tentative="1">
      <w:start w:val="1"/>
      <w:numFmt w:val="bullet"/>
      <w:lvlText w:val=""/>
      <w:lvlJc w:val="left"/>
      <w:pPr>
        <w:tabs>
          <w:tab w:val="num" w:pos="3906"/>
        </w:tabs>
        <w:ind w:left="3906" w:hanging="360"/>
      </w:pPr>
      <w:rPr>
        <w:rFonts w:ascii="Symbol" w:hAnsi="Symbol" w:hint="default"/>
      </w:rPr>
    </w:lvl>
    <w:lvl w:ilvl="7" w:tplc="041A0003" w:tentative="1">
      <w:start w:val="1"/>
      <w:numFmt w:val="bullet"/>
      <w:lvlText w:val="o"/>
      <w:lvlJc w:val="left"/>
      <w:pPr>
        <w:tabs>
          <w:tab w:val="num" w:pos="4626"/>
        </w:tabs>
        <w:ind w:left="4626" w:hanging="360"/>
      </w:pPr>
      <w:rPr>
        <w:rFonts w:ascii="Courier New" w:hAnsi="Courier New" w:cs="Courier New" w:hint="default"/>
      </w:rPr>
    </w:lvl>
    <w:lvl w:ilvl="8" w:tplc="041A0005" w:tentative="1">
      <w:start w:val="1"/>
      <w:numFmt w:val="bullet"/>
      <w:lvlText w:val=""/>
      <w:lvlJc w:val="left"/>
      <w:pPr>
        <w:tabs>
          <w:tab w:val="num" w:pos="5346"/>
        </w:tabs>
        <w:ind w:left="5346" w:hanging="360"/>
      </w:pPr>
      <w:rPr>
        <w:rFonts w:ascii="Wingdings" w:hAnsi="Wingdings" w:hint="default"/>
      </w:rPr>
    </w:lvl>
  </w:abstractNum>
  <w:abstractNum w:abstractNumId="17">
    <w:nsid w:val="36BC061D"/>
    <w:multiLevelType w:val="hybridMultilevel"/>
    <w:tmpl w:val="C7CE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533D32"/>
    <w:multiLevelType w:val="hybridMultilevel"/>
    <w:tmpl w:val="D304D218"/>
    <w:lvl w:ilvl="0" w:tplc="96C229BE">
      <w:start w:val="1"/>
      <w:numFmt w:val="bullet"/>
      <w:lvlText w:val="•"/>
      <w:lvlJc w:val="left"/>
      <w:pPr>
        <w:tabs>
          <w:tab w:val="num" w:pos="720"/>
        </w:tabs>
        <w:ind w:left="720" w:hanging="360"/>
      </w:pPr>
      <w:rPr>
        <w:rFonts w:ascii="Arial" w:hAnsi="Arial" w:hint="default"/>
      </w:rPr>
    </w:lvl>
    <w:lvl w:ilvl="1" w:tplc="DDF6DA86">
      <w:start w:val="1066"/>
      <w:numFmt w:val="bullet"/>
      <w:lvlText w:val="–"/>
      <w:lvlJc w:val="left"/>
      <w:pPr>
        <w:tabs>
          <w:tab w:val="num" w:pos="1440"/>
        </w:tabs>
        <w:ind w:left="1440" w:hanging="360"/>
      </w:pPr>
      <w:rPr>
        <w:rFonts w:ascii="Arial" w:hAnsi="Arial" w:hint="default"/>
      </w:rPr>
    </w:lvl>
    <w:lvl w:ilvl="2" w:tplc="049AC782" w:tentative="1">
      <w:start w:val="1"/>
      <w:numFmt w:val="bullet"/>
      <w:lvlText w:val="•"/>
      <w:lvlJc w:val="left"/>
      <w:pPr>
        <w:tabs>
          <w:tab w:val="num" w:pos="2160"/>
        </w:tabs>
        <w:ind w:left="2160" w:hanging="360"/>
      </w:pPr>
      <w:rPr>
        <w:rFonts w:ascii="Arial" w:hAnsi="Arial" w:hint="default"/>
      </w:rPr>
    </w:lvl>
    <w:lvl w:ilvl="3" w:tplc="46DE4914" w:tentative="1">
      <w:start w:val="1"/>
      <w:numFmt w:val="bullet"/>
      <w:lvlText w:val="•"/>
      <w:lvlJc w:val="left"/>
      <w:pPr>
        <w:tabs>
          <w:tab w:val="num" w:pos="2880"/>
        </w:tabs>
        <w:ind w:left="2880" w:hanging="360"/>
      </w:pPr>
      <w:rPr>
        <w:rFonts w:ascii="Arial" w:hAnsi="Arial" w:hint="default"/>
      </w:rPr>
    </w:lvl>
    <w:lvl w:ilvl="4" w:tplc="0270D332" w:tentative="1">
      <w:start w:val="1"/>
      <w:numFmt w:val="bullet"/>
      <w:lvlText w:val="•"/>
      <w:lvlJc w:val="left"/>
      <w:pPr>
        <w:tabs>
          <w:tab w:val="num" w:pos="3600"/>
        </w:tabs>
        <w:ind w:left="3600" w:hanging="360"/>
      </w:pPr>
      <w:rPr>
        <w:rFonts w:ascii="Arial" w:hAnsi="Arial" w:hint="default"/>
      </w:rPr>
    </w:lvl>
    <w:lvl w:ilvl="5" w:tplc="DE981034" w:tentative="1">
      <w:start w:val="1"/>
      <w:numFmt w:val="bullet"/>
      <w:lvlText w:val="•"/>
      <w:lvlJc w:val="left"/>
      <w:pPr>
        <w:tabs>
          <w:tab w:val="num" w:pos="4320"/>
        </w:tabs>
        <w:ind w:left="4320" w:hanging="360"/>
      </w:pPr>
      <w:rPr>
        <w:rFonts w:ascii="Arial" w:hAnsi="Arial" w:hint="default"/>
      </w:rPr>
    </w:lvl>
    <w:lvl w:ilvl="6" w:tplc="1BF04780" w:tentative="1">
      <w:start w:val="1"/>
      <w:numFmt w:val="bullet"/>
      <w:lvlText w:val="•"/>
      <w:lvlJc w:val="left"/>
      <w:pPr>
        <w:tabs>
          <w:tab w:val="num" w:pos="5040"/>
        </w:tabs>
        <w:ind w:left="5040" w:hanging="360"/>
      </w:pPr>
      <w:rPr>
        <w:rFonts w:ascii="Arial" w:hAnsi="Arial" w:hint="default"/>
      </w:rPr>
    </w:lvl>
    <w:lvl w:ilvl="7" w:tplc="8B7ED176" w:tentative="1">
      <w:start w:val="1"/>
      <w:numFmt w:val="bullet"/>
      <w:lvlText w:val="•"/>
      <w:lvlJc w:val="left"/>
      <w:pPr>
        <w:tabs>
          <w:tab w:val="num" w:pos="5760"/>
        </w:tabs>
        <w:ind w:left="5760" w:hanging="360"/>
      </w:pPr>
      <w:rPr>
        <w:rFonts w:ascii="Arial" w:hAnsi="Arial" w:hint="default"/>
      </w:rPr>
    </w:lvl>
    <w:lvl w:ilvl="8" w:tplc="4FA016CC" w:tentative="1">
      <w:start w:val="1"/>
      <w:numFmt w:val="bullet"/>
      <w:lvlText w:val="•"/>
      <w:lvlJc w:val="left"/>
      <w:pPr>
        <w:tabs>
          <w:tab w:val="num" w:pos="6480"/>
        </w:tabs>
        <w:ind w:left="6480" w:hanging="360"/>
      </w:pPr>
      <w:rPr>
        <w:rFonts w:ascii="Arial" w:hAnsi="Arial" w:hint="default"/>
      </w:rPr>
    </w:lvl>
  </w:abstractNum>
  <w:abstractNum w:abstractNumId="19">
    <w:nsid w:val="3A977C6B"/>
    <w:multiLevelType w:val="hybridMultilevel"/>
    <w:tmpl w:val="DDE41B2C"/>
    <w:lvl w:ilvl="0" w:tplc="08090001">
      <w:start w:val="1"/>
      <w:numFmt w:val="bullet"/>
      <w:lvlText w:val=""/>
      <w:lvlJc w:val="left"/>
      <w:pPr>
        <w:tabs>
          <w:tab w:val="num" w:pos="360"/>
        </w:tabs>
        <w:ind w:left="360" w:hanging="360"/>
      </w:pPr>
      <w:rPr>
        <w:rFonts w:ascii="Symbol" w:hAnsi="Symbol" w:hint="default"/>
        <w:b/>
        <w:bCs/>
        <w:i w:val="0"/>
        <w:iCs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BE15911"/>
    <w:multiLevelType w:val="hybridMultilevel"/>
    <w:tmpl w:val="680AC282"/>
    <w:lvl w:ilvl="0" w:tplc="08090001">
      <w:start w:val="1"/>
      <w:numFmt w:val="bullet"/>
      <w:lvlText w:val=""/>
      <w:lvlJc w:val="left"/>
      <w:pPr>
        <w:tabs>
          <w:tab w:val="num" w:pos="360"/>
        </w:tabs>
        <w:ind w:left="360" w:hanging="360"/>
      </w:pPr>
      <w:rPr>
        <w:rFonts w:ascii="Symbol" w:hAnsi="Symbol" w:hint="default"/>
        <w:b/>
        <w:bCs/>
        <w:i w:val="0"/>
        <w:iCs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C210874"/>
    <w:multiLevelType w:val="hybridMultilevel"/>
    <w:tmpl w:val="15EA0B96"/>
    <w:lvl w:ilvl="0" w:tplc="08090001">
      <w:start w:val="1"/>
      <w:numFmt w:val="bullet"/>
      <w:lvlText w:val=""/>
      <w:lvlJc w:val="left"/>
      <w:pPr>
        <w:tabs>
          <w:tab w:val="num" w:pos="360"/>
        </w:tabs>
        <w:ind w:left="360" w:hanging="360"/>
      </w:pPr>
      <w:rPr>
        <w:rFonts w:ascii="Symbol" w:hAnsi="Symbol" w:hint="default"/>
        <w:b/>
        <w:bCs/>
        <w:i w:val="0"/>
        <w:iCs w:val="0"/>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103493A"/>
    <w:multiLevelType w:val="hybridMultilevel"/>
    <w:tmpl w:val="DC98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4E0CF6"/>
    <w:multiLevelType w:val="hybridMultilevel"/>
    <w:tmpl w:val="C518A1A4"/>
    <w:lvl w:ilvl="0" w:tplc="7CECED16">
      <w:start w:val="1"/>
      <w:numFmt w:val="bullet"/>
      <w:lvlText w:val="•"/>
      <w:lvlJc w:val="left"/>
      <w:pPr>
        <w:tabs>
          <w:tab w:val="num" w:pos="720"/>
        </w:tabs>
        <w:ind w:left="720" w:hanging="360"/>
      </w:pPr>
      <w:rPr>
        <w:rFonts w:ascii="Arial" w:hAnsi="Arial" w:hint="default"/>
      </w:rPr>
    </w:lvl>
    <w:lvl w:ilvl="1" w:tplc="11343C82" w:tentative="1">
      <w:start w:val="1"/>
      <w:numFmt w:val="bullet"/>
      <w:lvlText w:val="•"/>
      <w:lvlJc w:val="left"/>
      <w:pPr>
        <w:tabs>
          <w:tab w:val="num" w:pos="1440"/>
        </w:tabs>
        <w:ind w:left="1440" w:hanging="360"/>
      </w:pPr>
      <w:rPr>
        <w:rFonts w:ascii="Arial" w:hAnsi="Arial" w:hint="default"/>
      </w:rPr>
    </w:lvl>
    <w:lvl w:ilvl="2" w:tplc="B2364644" w:tentative="1">
      <w:start w:val="1"/>
      <w:numFmt w:val="bullet"/>
      <w:lvlText w:val="•"/>
      <w:lvlJc w:val="left"/>
      <w:pPr>
        <w:tabs>
          <w:tab w:val="num" w:pos="2160"/>
        </w:tabs>
        <w:ind w:left="2160" w:hanging="360"/>
      </w:pPr>
      <w:rPr>
        <w:rFonts w:ascii="Arial" w:hAnsi="Arial" w:hint="default"/>
      </w:rPr>
    </w:lvl>
    <w:lvl w:ilvl="3" w:tplc="0B2AA56A" w:tentative="1">
      <w:start w:val="1"/>
      <w:numFmt w:val="bullet"/>
      <w:lvlText w:val="•"/>
      <w:lvlJc w:val="left"/>
      <w:pPr>
        <w:tabs>
          <w:tab w:val="num" w:pos="2880"/>
        </w:tabs>
        <w:ind w:left="2880" w:hanging="360"/>
      </w:pPr>
      <w:rPr>
        <w:rFonts w:ascii="Arial" w:hAnsi="Arial" w:hint="default"/>
      </w:rPr>
    </w:lvl>
    <w:lvl w:ilvl="4" w:tplc="640A6478" w:tentative="1">
      <w:start w:val="1"/>
      <w:numFmt w:val="bullet"/>
      <w:lvlText w:val="•"/>
      <w:lvlJc w:val="left"/>
      <w:pPr>
        <w:tabs>
          <w:tab w:val="num" w:pos="3600"/>
        </w:tabs>
        <w:ind w:left="3600" w:hanging="360"/>
      </w:pPr>
      <w:rPr>
        <w:rFonts w:ascii="Arial" w:hAnsi="Arial" w:hint="default"/>
      </w:rPr>
    </w:lvl>
    <w:lvl w:ilvl="5" w:tplc="C32286F8" w:tentative="1">
      <w:start w:val="1"/>
      <w:numFmt w:val="bullet"/>
      <w:lvlText w:val="•"/>
      <w:lvlJc w:val="left"/>
      <w:pPr>
        <w:tabs>
          <w:tab w:val="num" w:pos="4320"/>
        </w:tabs>
        <w:ind w:left="4320" w:hanging="360"/>
      </w:pPr>
      <w:rPr>
        <w:rFonts w:ascii="Arial" w:hAnsi="Arial" w:hint="default"/>
      </w:rPr>
    </w:lvl>
    <w:lvl w:ilvl="6" w:tplc="39B2ABC4" w:tentative="1">
      <w:start w:val="1"/>
      <w:numFmt w:val="bullet"/>
      <w:lvlText w:val="•"/>
      <w:lvlJc w:val="left"/>
      <w:pPr>
        <w:tabs>
          <w:tab w:val="num" w:pos="5040"/>
        </w:tabs>
        <w:ind w:left="5040" w:hanging="360"/>
      </w:pPr>
      <w:rPr>
        <w:rFonts w:ascii="Arial" w:hAnsi="Arial" w:hint="default"/>
      </w:rPr>
    </w:lvl>
    <w:lvl w:ilvl="7" w:tplc="FCDE87D2" w:tentative="1">
      <w:start w:val="1"/>
      <w:numFmt w:val="bullet"/>
      <w:lvlText w:val="•"/>
      <w:lvlJc w:val="left"/>
      <w:pPr>
        <w:tabs>
          <w:tab w:val="num" w:pos="5760"/>
        </w:tabs>
        <w:ind w:left="5760" w:hanging="360"/>
      </w:pPr>
      <w:rPr>
        <w:rFonts w:ascii="Arial" w:hAnsi="Arial" w:hint="default"/>
      </w:rPr>
    </w:lvl>
    <w:lvl w:ilvl="8" w:tplc="E2CC5648" w:tentative="1">
      <w:start w:val="1"/>
      <w:numFmt w:val="bullet"/>
      <w:lvlText w:val="•"/>
      <w:lvlJc w:val="left"/>
      <w:pPr>
        <w:tabs>
          <w:tab w:val="num" w:pos="6480"/>
        </w:tabs>
        <w:ind w:left="6480" w:hanging="360"/>
      </w:pPr>
      <w:rPr>
        <w:rFonts w:ascii="Arial" w:hAnsi="Arial" w:hint="default"/>
      </w:rPr>
    </w:lvl>
  </w:abstractNum>
  <w:abstractNum w:abstractNumId="24">
    <w:nsid w:val="42811731"/>
    <w:multiLevelType w:val="hybridMultilevel"/>
    <w:tmpl w:val="E96A422A"/>
    <w:lvl w:ilvl="0" w:tplc="BAE8CE9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47833508"/>
    <w:multiLevelType w:val="hybridMultilevel"/>
    <w:tmpl w:val="45C2B1DE"/>
    <w:lvl w:ilvl="0" w:tplc="08090001">
      <w:start w:val="1"/>
      <w:numFmt w:val="bullet"/>
      <w:lvlText w:val=""/>
      <w:lvlJc w:val="left"/>
      <w:pPr>
        <w:tabs>
          <w:tab w:val="num" w:pos="360"/>
        </w:tabs>
        <w:ind w:left="360" w:hanging="360"/>
      </w:pPr>
      <w:rPr>
        <w:rFonts w:ascii="Symbol" w:hAnsi="Symbol" w:hint="default"/>
        <w:b/>
        <w:bCs/>
        <w:i w:val="0"/>
        <w:iCs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9057CC5"/>
    <w:multiLevelType w:val="hybridMultilevel"/>
    <w:tmpl w:val="D01A2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AFB53C1"/>
    <w:multiLevelType w:val="hybridMultilevel"/>
    <w:tmpl w:val="C1648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09679F"/>
    <w:multiLevelType w:val="hybridMultilevel"/>
    <w:tmpl w:val="610C9E38"/>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E81303"/>
    <w:multiLevelType w:val="hybridMultilevel"/>
    <w:tmpl w:val="3FB8F5D8"/>
    <w:lvl w:ilvl="0" w:tplc="188E455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1957C19"/>
    <w:multiLevelType w:val="hybridMultilevel"/>
    <w:tmpl w:val="86A05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A833AE"/>
    <w:multiLevelType w:val="hybridMultilevel"/>
    <w:tmpl w:val="ADE46E9A"/>
    <w:lvl w:ilvl="0" w:tplc="08090001">
      <w:start w:val="1"/>
      <w:numFmt w:val="bullet"/>
      <w:lvlText w:val=""/>
      <w:lvlJc w:val="left"/>
      <w:pPr>
        <w:tabs>
          <w:tab w:val="num" w:pos="360"/>
        </w:tabs>
        <w:ind w:left="360" w:hanging="360"/>
      </w:pPr>
      <w:rPr>
        <w:rFonts w:ascii="Symbol" w:hAnsi="Symbol" w:hint="default"/>
        <w:b/>
        <w:bCs/>
        <w:i w:val="0"/>
        <w:iCs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37B51D9"/>
    <w:multiLevelType w:val="hybridMultilevel"/>
    <w:tmpl w:val="62A4C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A3C7F2C"/>
    <w:multiLevelType w:val="hybridMultilevel"/>
    <w:tmpl w:val="37923040"/>
    <w:lvl w:ilvl="0" w:tplc="60AE8A10">
      <w:numFmt w:val="bullet"/>
      <w:lvlText w:val="-"/>
      <w:lvlJc w:val="left"/>
      <w:pPr>
        <w:ind w:left="720" w:hanging="360"/>
      </w:pPr>
      <w:rPr>
        <w:rFonts w:ascii="Arial" w:hAnsi="Arial" w:hint="default"/>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A342F7"/>
    <w:multiLevelType w:val="hybridMultilevel"/>
    <w:tmpl w:val="733075A6"/>
    <w:lvl w:ilvl="0" w:tplc="5DF27AC2">
      <w:start w:val="1"/>
      <w:numFmt w:val="decimal"/>
      <w:lvlText w:val="9.3.%1"/>
      <w:lvlJc w:val="left"/>
      <w:pPr>
        <w:tabs>
          <w:tab w:val="num" w:pos="794"/>
        </w:tabs>
        <w:ind w:left="0" w:firstLine="0"/>
      </w:pPr>
      <w:rPr>
        <w:rFonts w:ascii="Calibri" w:hAnsi="Calibri" w:cs="Times New Roman" w:hint="default"/>
        <w:b/>
        <w:bCs/>
        <w:i w:val="0"/>
        <w:iCs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BC27848"/>
    <w:multiLevelType w:val="hybridMultilevel"/>
    <w:tmpl w:val="7164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584882"/>
    <w:multiLevelType w:val="hybridMultilevel"/>
    <w:tmpl w:val="B9B62734"/>
    <w:lvl w:ilvl="0" w:tplc="781EA6AE">
      <w:start w:val="1"/>
      <w:numFmt w:val="bullet"/>
      <w:lvlText w:val="•"/>
      <w:lvlJc w:val="left"/>
      <w:pPr>
        <w:tabs>
          <w:tab w:val="num" w:pos="720"/>
        </w:tabs>
        <w:ind w:left="720" w:hanging="360"/>
      </w:pPr>
      <w:rPr>
        <w:rFonts w:ascii="Arial" w:hAnsi="Arial" w:hint="default"/>
      </w:rPr>
    </w:lvl>
    <w:lvl w:ilvl="1" w:tplc="009240EE">
      <w:start w:val="1444"/>
      <w:numFmt w:val="bullet"/>
      <w:lvlText w:val="–"/>
      <w:lvlJc w:val="left"/>
      <w:pPr>
        <w:tabs>
          <w:tab w:val="num" w:pos="1440"/>
        </w:tabs>
        <w:ind w:left="1440" w:hanging="360"/>
      </w:pPr>
      <w:rPr>
        <w:rFonts w:ascii="Arial" w:hAnsi="Arial" w:hint="default"/>
      </w:rPr>
    </w:lvl>
    <w:lvl w:ilvl="2" w:tplc="6A6C4F14" w:tentative="1">
      <w:start w:val="1"/>
      <w:numFmt w:val="bullet"/>
      <w:lvlText w:val="•"/>
      <w:lvlJc w:val="left"/>
      <w:pPr>
        <w:tabs>
          <w:tab w:val="num" w:pos="2160"/>
        </w:tabs>
        <w:ind w:left="2160" w:hanging="360"/>
      </w:pPr>
      <w:rPr>
        <w:rFonts w:ascii="Arial" w:hAnsi="Arial" w:hint="default"/>
      </w:rPr>
    </w:lvl>
    <w:lvl w:ilvl="3" w:tplc="40A2EDB2" w:tentative="1">
      <w:start w:val="1"/>
      <w:numFmt w:val="bullet"/>
      <w:lvlText w:val="•"/>
      <w:lvlJc w:val="left"/>
      <w:pPr>
        <w:tabs>
          <w:tab w:val="num" w:pos="2880"/>
        </w:tabs>
        <w:ind w:left="2880" w:hanging="360"/>
      </w:pPr>
      <w:rPr>
        <w:rFonts w:ascii="Arial" w:hAnsi="Arial" w:hint="default"/>
      </w:rPr>
    </w:lvl>
    <w:lvl w:ilvl="4" w:tplc="630AFDA6" w:tentative="1">
      <w:start w:val="1"/>
      <w:numFmt w:val="bullet"/>
      <w:lvlText w:val="•"/>
      <w:lvlJc w:val="left"/>
      <w:pPr>
        <w:tabs>
          <w:tab w:val="num" w:pos="3600"/>
        </w:tabs>
        <w:ind w:left="3600" w:hanging="360"/>
      </w:pPr>
      <w:rPr>
        <w:rFonts w:ascii="Arial" w:hAnsi="Arial" w:hint="default"/>
      </w:rPr>
    </w:lvl>
    <w:lvl w:ilvl="5" w:tplc="848A4A1C" w:tentative="1">
      <w:start w:val="1"/>
      <w:numFmt w:val="bullet"/>
      <w:lvlText w:val="•"/>
      <w:lvlJc w:val="left"/>
      <w:pPr>
        <w:tabs>
          <w:tab w:val="num" w:pos="4320"/>
        </w:tabs>
        <w:ind w:left="4320" w:hanging="360"/>
      </w:pPr>
      <w:rPr>
        <w:rFonts w:ascii="Arial" w:hAnsi="Arial" w:hint="default"/>
      </w:rPr>
    </w:lvl>
    <w:lvl w:ilvl="6" w:tplc="9642FB7A" w:tentative="1">
      <w:start w:val="1"/>
      <w:numFmt w:val="bullet"/>
      <w:lvlText w:val="•"/>
      <w:lvlJc w:val="left"/>
      <w:pPr>
        <w:tabs>
          <w:tab w:val="num" w:pos="5040"/>
        </w:tabs>
        <w:ind w:left="5040" w:hanging="360"/>
      </w:pPr>
      <w:rPr>
        <w:rFonts w:ascii="Arial" w:hAnsi="Arial" w:hint="default"/>
      </w:rPr>
    </w:lvl>
    <w:lvl w:ilvl="7" w:tplc="1E4CA4EE" w:tentative="1">
      <w:start w:val="1"/>
      <w:numFmt w:val="bullet"/>
      <w:lvlText w:val="•"/>
      <w:lvlJc w:val="left"/>
      <w:pPr>
        <w:tabs>
          <w:tab w:val="num" w:pos="5760"/>
        </w:tabs>
        <w:ind w:left="5760" w:hanging="360"/>
      </w:pPr>
      <w:rPr>
        <w:rFonts w:ascii="Arial" w:hAnsi="Arial" w:hint="default"/>
      </w:rPr>
    </w:lvl>
    <w:lvl w:ilvl="8" w:tplc="E5580516" w:tentative="1">
      <w:start w:val="1"/>
      <w:numFmt w:val="bullet"/>
      <w:lvlText w:val="•"/>
      <w:lvlJc w:val="left"/>
      <w:pPr>
        <w:tabs>
          <w:tab w:val="num" w:pos="6480"/>
        </w:tabs>
        <w:ind w:left="6480" w:hanging="360"/>
      </w:pPr>
      <w:rPr>
        <w:rFonts w:ascii="Arial" w:hAnsi="Arial" w:hint="default"/>
      </w:rPr>
    </w:lvl>
  </w:abstractNum>
  <w:abstractNum w:abstractNumId="37">
    <w:nsid w:val="5FC83833"/>
    <w:multiLevelType w:val="hybridMultilevel"/>
    <w:tmpl w:val="58E23B68"/>
    <w:lvl w:ilvl="0" w:tplc="08090001">
      <w:start w:val="1"/>
      <w:numFmt w:val="bullet"/>
      <w:lvlText w:val=""/>
      <w:lvlJc w:val="left"/>
      <w:pPr>
        <w:tabs>
          <w:tab w:val="num" w:pos="360"/>
        </w:tabs>
        <w:ind w:left="360" w:hanging="360"/>
      </w:pPr>
      <w:rPr>
        <w:rFonts w:ascii="Symbol" w:hAnsi="Symbol" w:hint="default"/>
        <w:b/>
        <w:bCs/>
        <w:i w:val="0"/>
        <w:iCs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63F20FEF"/>
    <w:multiLevelType w:val="hybridMultilevel"/>
    <w:tmpl w:val="C99CF7DE"/>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6A3B27C2"/>
    <w:multiLevelType w:val="hybridMultilevel"/>
    <w:tmpl w:val="19E02F72"/>
    <w:lvl w:ilvl="0" w:tplc="BAE8CE9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6BDC16C9"/>
    <w:multiLevelType w:val="hybridMultilevel"/>
    <w:tmpl w:val="B3FA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05825FF"/>
    <w:multiLevelType w:val="hybridMultilevel"/>
    <w:tmpl w:val="C4360220"/>
    <w:lvl w:ilvl="0" w:tplc="E57209B2">
      <w:start w:val="1"/>
      <w:numFmt w:val="bullet"/>
      <w:lvlText w:val="•"/>
      <w:lvlJc w:val="left"/>
      <w:pPr>
        <w:tabs>
          <w:tab w:val="num" w:pos="360"/>
        </w:tabs>
        <w:ind w:left="360" w:hanging="360"/>
      </w:pPr>
      <w:rPr>
        <w:rFonts w:ascii="Arial" w:hAnsi="Arial" w:hint="default"/>
      </w:rPr>
    </w:lvl>
    <w:lvl w:ilvl="1" w:tplc="444C9508" w:tentative="1">
      <w:start w:val="1"/>
      <w:numFmt w:val="bullet"/>
      <w:lvlText w:val="•"/>
      <w:lvlJc w:val="left"/>
      <w:pPr>
        <w:tabs>
          <w:tab w:val="num" w:pos="1080"/>
        </w:tabs>
        <w:ind w:left="1080" w:hanging="360"/>
      </w:pPr>
      <w:rPr>
        <w:rFonts w:ascii="Arial" w:hAnsi="Arial" w:hint="default"/>
      </w:rPr>
    </w:lvl>
    <w:lvl w:ilvl="2" w:tplc="D0DAD3B6" w:tentative="1">
      <w:start w:val="1"/>
      <w:numFmt w:val="bullet"/>
      <w:lvlText w:val="•"/>
      <w:lvlJc w:val="left"/>
      <w:pPr>
        <w:tabs>
          <w:tab w:val="num" w:pos="1800"/>
        </w:tabs>
        <w:ind w:left="1800" w:hanging="360"/>
      </w:pPr>
      <w:rPr>
        <w:rFonts w:ascii="Arial" w:hAnsi="Arial" w:hint="default"/>
      </w:rPr>
    </w:lvl>
    <w:lvl w:ilvl="3" w:tplc="759099DA" w:tentative="1">
      <w:start w:val="1"/>
      <w:numFmt w:val="bullet"/>
      <w:lvlText w:val="•"/>
      <w:lvlJc w:val="left"/>
      <w:pPr>
        <w:tabs>
          <w:tab w:val="num" w:pos="2520"/>
        </w:tabs>
        <w:ind w:left="2520" w:hanging="360"/>
      </w:pPr>
      <w:rPr>
        <w:rFonts w:ascii="Arial" w:hAnsi="Arial" w:hint="default"/>
      </w:rPr>
    </w:lvl>
    <w:lvl w:ilvl="4" w:tplc="A4EA23B2" w:tentative="1">
      <w:start w:val="1"/>
      <w:numFmt w:val="bullet"/>
      <w:lvlText w:val="•"/>
      <w:lvlJc w:val="left"/>
      <w:pPr>
        <w:tabs>
          <w:tab w:val="num" w:pos="3240"/>
        </w:tabs>
        <w:ind w:left="3240" w:hanging="360"/>
      </w:pPr>
      <w:rPr>
        <w:rFonts w:ascii="Arial" w:hAnsi="Arial" w:hint="default"/>
      </w:rPr>
    </w:lvl>
    <w:lvl w:ilvl="5" w:tplc="BD8090E4" w:tentative="1">
      <w:start w:val="1"/>
      <w:numFmt w:val="bullet"/>
      <w:lvlText w:val="•"/>
      <w:lvlJc w:val="left"/>
      <w:pPr>
        <w:tabs>
          <w:tab w:val="num" w:pos="3960"/>
        </w:tabs>
        <w:ind w:left="3960" w:hanging="360"/>
      </w:pPr>
      <w:rPr>
        <w:rFonts w:ascii="Arial" w:hAnsi="Arial" w:hint="default"/>
      </w:rPr>
    </w:lvl>
    <w:lvl w:ilvl="6" w:tplc="0D84BB2E" w:tentative="1">
      <w:start w:val="1"/>
      <w:numFmt w:val="bullet"/>
      <w:lvlText w:val="•"/>
      <w:lvlJc w:val="left"/>
      <w:pPr>
        <w:tabs>
          <w:tab w:val="num" w:pos="4680"/>
        </w:tabs>
        <w:ind w:left="4680" w:hanging="360"/>
      </w:pPr>
      <w:rPr>
        <w:rFonts w:ascii="Arial" w:hAnsi="Arial" w:hint="default"/>
      </w:rPr>
    </w:lvl>
    <w:lvl w:ilvl="7" w:tplc="4350B9A2" w:tentative="1">
      <w:start w:val="1"/>
      <w:numFmt w:val="bullet"/>
      <w:lvlText w:val="•"/>
      <w:lvlJc w:val="left"/>
      <w:pPr>
        <w:tabs>
          <w:tab w:val="num" w:pos="5400"/>
        </w:tabs>
        <w:ind w:left="5400" w:hanging="360"/>
      </w:pPr>
      <w:rPr>
        <w:rFonts w:ascii="Arial" w:hAnsi="Arial" w:hint="default"/>
      </w:rPr>
    </w:lvl>
    <w:lvl w:ilvl="8" w:tplc="FC526570" w:tentative="1">
      <w:start w:val="1"/>
      <w:numFmt w:val="bullet"/>
      <w:lvlText w:val="•"/>
      <w:lvlJc w:val="left"/>
      <w:pPr>
        <w:tabs>
          <w:tab w:val="num" w:pos="6120"/>
        </w:tabs>
        <w:ind w:left="6120" w:hanging="360"/>
      </w:pPr>
      <w:rPr>
        <w:rFonts w:ascii="Arial" w:hAnsi="Arial" w:hint="default"/>
      </w:rPr>
    </w:lvl>
  </w:abstractNum>
  <w:abstractNum w:abstractNumId="42">
    <w:nsid w:val="78005BA1"/>
    <w:multiLevelType w:val="hybridMultilevel"/>
    <w:tmpl w:val="E904EE2E"/>
    <w:lvl w:ilvl="0" w:tplc="08090001">
      <w:start w:val="1"/>
      <w:numFmt w:val="bullet"/>
      <w:lvlText w:val=""/>
      <w:lvlJc w:val="left"/>
      <w:pPr>
        <w:tabs>
          <w:tab w:val="num" w:pos="360"/>
        </w:tabs>
        <w:ind w:left="360" w:hanging="360"/>
      </w:pPr>
      <w:rPr>
        <w:rFonts w:ascii="Symbol" w:hAnsi="Symbol" w:hint="default"/>
        <w:b/>
        <w:bCs/>
        <w:i w:val="0"/>
        <w:iCs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94C3740"/>
    <w:multiLevelType w:val="hybridMultilevel"/>
    <w:tmpl w:val="84A87F08"/>
    <w:lvl w:ilvl="0" w:tplc="04130001">
      <w:start w:val="1"/>
      <w:numFmt w:val="bullet"/>
      <w:lvlText w:val=""/>
      <w:lvlJc w:val="left"/>
      <w:pPr>
        <w:tabs>
          <w:tab w:val="num" w:pos="360"/>
        </w:tabs>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16"/>
  </w:num>
  <w:num w:numId="2">
    <w:abstractNumId w:val="0"/>
  </w:num>
  <w:num w:numId="3">
    <w:abstractNumId w:val="30"/>
  </w:num>
  <w:num w:numId="4">
    <w:abstractNumId w:val="29"/>
  </w:num>
  <w:num w:numId="5">
    <w:abstractNumId w:val="3"/>
  </w:num>
  <w:num w:numId="6">
    <w:abstractNumId w:val="10"/>
  </w:num>
  <w:num w:numId="7">
    <w:abstractNumId w:val="26"/>
  </w:num>
  <w:num w:numId="8">
    <w:abstractNumId w:val="5"/>
  </w:num>
  <w:num w:numId="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0"/>
  </w:num>
  <w:num w:numId="12">
    <w:abstractNumId w:val="25"/>
  </w:num>
  <w:num w:numId="13">
    <w:abstractNumId w:val="6"/>
  </w:num>
  <w:num w:numId="14">
    <w:abstractNumId w:val="42"/>
  </w:num>
  <w:num w:numId="15">
    <w:abstractNumId w:val="4"/>
  </w:num>
  <w:num w:numId="16">
    <w:abstractNumId w:val="21"/>
  </w:num>
  <w:num w:numId="17">
    <w:abstractNumId w:val="35"/>
  </w:num>
  <w:num w:numId="18">
    <w:abstractNumId w:val="2"/>
  </w:num>
  <w:num w:numId="19">
    <w:abstractNumId w:val="40"/>
  </w:num>
  <w:num w:numId="20">
    <w:abstractNumId w:val="17"/>
  </w:num>
  <w:num w:numId="21">
    <w:abstractNumId w:val="12"/>
  </w:num>
  <w:num w:numId="22">
    <w:abstractNumId w:val="27"/>
  </w:num>
  <w:num w:numId="23">
    <w:abstractNumId w:val="22"/>
  </w:num>
  <w:num w:numId="24">
    <w:abstractNumId w:val="15"/>
  </w:num>
  <w:num w:numId="25">
    <w:abstractNumId w:val="1"/>
  </w:num>
  <w:num w:numId="26">
    <w:abstractNumId w:val="9"/>
  </w:num>
  <w:num w:numId="27">
    <w:abstractNumId w:val="32"/>
  </w:num>
  <w:num w:numId="28">
    <w:abstractNumId w:val="28"/>
  </w:num>
  <w:num w:numId="29">
    <w:abstractNumId w:val="41"/>
  </w:num>
  <w:num w:numId="30">
    <w:abstractNumId w:val="18"/>
  </w:num>
  <w:num w:numId="31">
    <w:abstractNumId w:val="23"/>
  </w:num>
  <w:num w:numId="32">
    <w:abstractNumId w:val="36"/>
  </w:num>
  <w:num w:numId="33">
    <w:abstractNumId w:val="37"/>
  </w:num>
  <w:num w:numId="34">
    <w:abstractNumId w:val="19"/>
  </w:num>
  <w:num w:numId="35">
    <w:abstractNumId w:val="31"/>
  </w:num>
  <w:num w:numId="36">
    <w:abstractNumId w:val="34"/>
  </w:num>
  <w:num w:numId="37">
    <w:abstractNumId w:val="7"/>
  </w:num>
  <w:num w:numId="38">
    <w:abstractNumId w:val="11"/>
  </w:num>
  <w:num w:numId="39">
    <w:abstractNumId w:val="38"/>
  </w:num>
  <w:num w:numId="40">
    <w:abstractNumId w:val="8"/>
  </w:num>
  <w:num w:numId="41">
    <w:abstractNumId w:val="14"/>
  </w:num>
  <w:num w:numId="42">
    <w:abstractNumId w:val="39"/>
  </w:num>
  <w:num w:numId="43">
    <w:abstractNumId w:val="24"/>
  </w:num>
  <w:num w:numId="4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C1"/>
    <w:rsid w:val="00000243"/>
    <w:rsid w:val="000012F2"/>
    <w:rsid w:val="00001988"/>
    <w:rsid w:val="00011095"/>
    <w:rsid w:val="00012773"/>
    <w:rsid w:val="00015CBE"/>
    <w:rsid w:val="00021737"/>
    <w:rsid w:val="000411B9"/>
    <w:rsid w:val="0004318A"/>
    <w:rsid w:val="00057117"/>
    <w:rsid w:val="00063D42"/>
    <w:rsid w:val="0006507B"/>
    <w:rsid w:val="00070DB8"/>
    <w:rsid w:val="000716F6"/>
    <w:rsid w:val="00090E51"/>
    <w:rsid w:val="000913FD"/>
    <w:rsid w:val="000933B4"/>
    <w:rsid w:val="0009704C"/>
    <w:rsid w:val="000B3EAC"/>
    <w:rsid w:val="000B48B5"/>
    <w:rsid w:val="000C5886"/>
    <w:rsid w:val="000D1303"/>
    <w:rsid w:val="000D24C4"/>
    <w:rsid w:val="000D6601"/>
    <w:rsid w:val="000D6AB1"/>
    <w:rsid w:val="000E2AC0"/>
    <w:rsid w:val="000F5868"/>
    <w:rsid w:val="000F6198"/>
    <w:rsid w:val="00103F72"/>
    <w:rsid w:val="00113306"/>
    <w:rsid w:val="0012560E"/>
    <w:rsid w:val="00137011"/>
    <w:rsid w:val="00137A14"/>
    <w:rsid w:val="00143052"/>
    <w:rsid w:val="0014324C"/>
    <w:rsid w:val="00145A12"/>
    <w:rsid w:val="00151D8E"/>
    <w:rsid w:val="00154CA6"/>
    <w:rsid w:val="00156344"/>
    <w:rsid w:val="0016024F"/>
    <w:rsid w:val="001659C2"/>
    <w:rsid w:val="00170DAF"/>
    <w:rsid w:val="00181579"/>
    <w:rsid w:val="00187C43"/>
    <w:rsid w:val="00193702"/>
    <w:rsid w:val="00197288"/>
    <w:rsid w:val="001A1C82"/>
    <w:rsid w:val="001A7E40"/>
    <w:rsid w:val="001B08FB"/>
    <w:rsid w:val="001B3D7F"/>
    <w:rsid w:val="001B4CC0"/>
    <w:rsid w:val="001B7AC1"/>
    <w:rsid w:val="001C1371"/>
    <w:rsid w:val="001D1FF3"/>
    <w:rsid w:val="001D3DE9"/>
    <w:rsid w:val="001D3E81"/>
    <w:rsid w:val="001D428E"/>
    <w:rsid w:val="001D67DF"/>
    <w:rsid w:val="001F1EB1"/>
    <w:rsid w:val="001F3776"/>
    <w:rsid w:val="001F6900"/>
    <w:rsid w:val="00200CFF"/>
    <w:rsid w:val="00204507"/>
    <w:rsid w:val="00212C92"/>
    <w:rsid w:val="00213BE9"/>
    <w:rsid w:val="002144FD"/>
    <w:rsid w:val="00230298"/>
    <w:rsid w:val="00234CD8"/>
    <w:rsid w:val="002353EB"/>
    <w:rsid w:val="002402D8"/>
    <w:rsid w:val="00252037"/>
    <w:rsid w:val="00257BCF"/>
    <w:rsid w:val="002635E0"/>
    <w:rsid w:val="00266FB5"/>
    <w:rsid w:val="00270B4B"/>
    <w:rsid w:val="002838F8"/>
    <w:rsid w:val="00284C71"/>
    <w:rsid w:val="00287BAE"/>
    <w:rsid w:val="002A54D9"/>
    <w:rsid w:val="002B18FE"/>
    <w:rsid w:val="002B385D"/>
    <w:rsid w:val="002C0634"/>
    <w:rsid w:val="002C2EB1"/>
    <w:rsid w:val="002C44F2"/>
    <w:rsid w:val="002C4AF5"/>
    <w:rsid w:val="002C4FE9"/>
    <w:rsid w:val="002C7CD3"/>
    <w:rsid w:val="002D546A"/>
    <w:rsid w:val="002E23DD"/>
    <w:rsid w:val="002E36A6"/>
    <w:rsid w:val="002E5E71"/>
    <w:rsid w:val="002F1DAE"/>
    <w:rsid w:val="00306979"/>
    <w:rsid w:val="003070FE"/>
    <w:rsid w:val="00314EED"/>
    <w:rsid w:val="003245FE"/>
    <w:rsid w:val="00325156"/>
    <w:rsid w:val="00325C8E"/>
    <w:rsid w:val="003352CE"/>
    <w:rsid w:val="00336241"/>
    <w:rsid w:val="0034335D"/>
    <w:rsid w:val="00346212"/>
    <w:rsid w:val="0034636F"/>
    <w:rsid w:val="00346DA7"/>
    <w:rsid w:val="00352F51"/>
    <w:rsid w:val="003638FA"/>
    <w:rsid w:val="003640EE"/>
    <w:rsid w:val="00367B48"/>
    <w:rsid w:val="003704B2"/>
    <w:rsid w:val="003744AF"/>
    <w:rsid w:val="00374EF5"/>
    <w:rsid w:val="00381C66"/>
    <w:rsid w:val="00386D86"/>
    <w:rsid w:val="00391239"/>
    <w:rsid w:val="0039685A"/>
    <w:rsid w:val="003B1A5F"/>
    <w:rsid w:val="003B1C47"/>
    <w:rsid w:val="003B6FBF"/>
    <w:rsid w:val="003B7385"/>
    <w:rsid w:val="003C1419"/>
    <w:rsid w:val="003C43E9"/>
    <w:rsid w:val="003D1EF5"/>
    <w:rsid w:val="003D2E94"/>
    <w:rsid w:val="003D6529"/>
    <w:rsid w:val="003F3EA2"/>
    <w:rsid w:val="003F7D81"/>
    <w:rsid w:val="00402CCC"/>
    <w:rsid w:val="00410ADC"/>
    <w:rsid w:val="004123C4"/>
    <w:rsid w:val="00420563"/>
    <w:rsid w:val="0042193A"/>
    <w:rsid w:val="004267FD"/>
    <w:rsid w:val="004275DF"/>
    <w:rsid w:val="0044295E"/>
    <w:rsid w:val="004449F3"/>
    <w:rsid w:val="004517C3"/>
    <w:rsid w:val="00451D5B"/>
    <w:rsid w:val="00452CB4"/>
    <w:rsid w:val="0045346A"/>
    <w:rsid w:val="00455FB6"/>
    <w:rsid w:val="004567A4"/>
    <w:rsid w:val="004602C7"/>
    <w:rsid w:val="004604D5"/>
    <w:rsid w:val="00464274"/>
    <w:rsid w:val="00465C07"/>
    <w:rsid w:val="004700D0"/>
    <w:rsid w:val="004863F5"/>
    <w:rsid w:val="00486FC7"/>
    <w:rsid w:val="00487927"/>
    <w:rsid w:val="00495340"/>
    <w:rsid w:val="00495805"/>
    <w:rsid w:val="0049727D"/>
    <w:rsid w:val="004A5612"/>
    <w:rsid w:val="004A6A8C"/>
    <w:rsid w:val="004B19CD"/>
    <w:rsid w:val="004C4EED"/>
    <w:rsid w:val="004C6C02"/>
    <w:rsid w:val="004D08A5"/>
    <w:rsid w:val="004D2808"/>
    <w:rsid w:val="004D4E56"/>
    <w:rsid w:val="004D67C6"/>
    <w:rsid w:val="004E1B1F"/>
    <w:rsid w:val="004F55C9"/>
    <w:rsid w:val="004F5950"/>
    <w:rsid w:val="00500FAD"/>
    <w:rsid w:val="005011CD"/>
    <w:rsid w:val="00512796"/>
    <w:rsid w:val="00520281"/>
    <w:rsid w:val="005236FD"/>
    <w:rsid w:val="00526858"/>
    <w:rsid w:val="00526E96"/>
    <w:rsid w:val="00530DA1"/>
    <w:rsid w:val="00533CBE"/>
    <w:rsid w:val="005365DF"/>
    <w:rsid w:val="00537D5D"/>
    <w:rsid w:val="00537EE4"/>
    <w:rsid w:val="005532CE"/>
    <w:rsid w:val="00557634"/>
    <w:rsid w:val="00583E41"/>
    <w:rsid w:val="00586B68"/>
    <w:rsid w:val="005943DF"/>
    <w:rsid w:val="00597300"/>
    <w:rsid w:val="005A1253"/>
    <w:rsid w:val="005A1A24"/>
    <w:rsid w:val="005A4D6B"/>
    <w:rsid w:val="005B5E7C"/>
    <w:rsid w:val="005C36A2"/>
    <w:rsid w:val="005C6896"/>
    <w:rsid w:val="005D3C05"/>
    <w:rsid w:val="005D532C"/>
    <w:rsid w:val="005E1C4F"/>
    <w:rsid w:val="005E3FF3"/>
    <w:rsid w:val="005F6E7A"/>
    <w:rsid w:val="005F7F3E"/>
    <w:rsid w:val="00600D97"/>
    <w:rsid w:val="00606BFE"/>
    <w:rsid w:val="00611B88"/>
    <w:rsid w:val="0061443F"/>
    <w:rsid w:val="0061534C"/>
    <w:rsid w:val="006214D2"/>
    <w:rsid w:val="00621866"/>
    <w:rsid w:val="00624A8F"/>
    <w:rsid w:val="00627C93"/>
    <w:rsid w:val="006363C7"/>
    <w:rsid w:val="0065087C"/>
    <w:rsid w:val="006534E6"/>
    <w:rsid w:val="00660F7D"/>
    <w:rsid w:val="00667A90"/>
    <w:rsid w:val="00670839"/>
    <w:rsid w:val="006723A7"/>
    <w:rsid w:val="0067431C"/>
    <w:rsid w:val="00675DA7"/>
    <w:rsid w:val="00684407"/>
    <w:rsid w:val="00691B5F"/>
    <w:rsid w:val="006A4937"/>
    <w:rsid w:val="006C3A72"/>
    <w:rsid w:val="006C4A10"/>
    <w:rsid w:val="006E0FA8"/>
    <w:rsid w:val="006E3016"/>
    <w:rsid w:val="006E6880"/>
    <w:rsid w:val="006F1D9A"/>
    <w:rsid w:val="007057A9"/>
    <w:rsid w:val="007078E9"/>
    <w:rsid w:val="00711266"/>
    <w:rsid w:val="00712325"/>
    <w:rsid w:val="00713B8B"/>
    <w:rsid w:val="00715C25"/>
    <w:rsid w:val="00720583"/>
    <w:rsid w:val="0072227A"/>
    <w:rsid w:val="007234D4"/>
    <w:rsid w:val="00730EE7"/>
    <w:rsid w:val="00731435"/>
    <w:rsid w:val="00731E81"/>
    <w:rsid w:val="00734289"/>
    <w:rsid w:val="00734E20"/>
    <w:rsid w:val="0075574F"/>
    <w:rsid w:val="00755EF7"/>
    <w:rsid w:val="007701F5"/>
    <w:rsid w:val="007716DC"/>
    <w:rsid w:val="0078090D"/>
    <w:rsid w:val="00781C7B"/>
    <w:rsid w:val="00783980"/>
    <w:rsid w:val="00785528"/>
    <w:rsid w:val="00793D59"/>
    <w:rsid w:val="00794E49"/>
    <w:rsid w:val="007C4DD1"/>
    <w:rsid w:val="007C6C07"/>
    <w:rsid w:val="007D451E"/>
    <w:rsid w:val="007D7808"/>
    <w:rsid w:val="007E376B"/>
    <w:rsid w:val="007E6653"/>
    <w:rsid w:val="007F1F27"/>
    <w:rsid w:val="007F5355"/>
    <w:rsid w:val="007F778E"/>
    <w:rsid w:val="00801FE5"/>
    <w:rsid w:val="00807AE6"/>
    <w:rsid w:val="008253D1"/>
    <w:rsid w:val="0082696B"/>
    <w:rsid w:val="008469B6"/>
    <w:rsid w:val="00847647"/>
    <w:rsid w:val="0086177A"/>
    <w:rsid w:val="00867F42"/>
    <w:rsid w:val="00872F0E"/>
    <w:rsid w:val="0088229E"/>
    <w:rsid w:val="0088257F"/>
    <w:rsid w:val="00884A8C"/>
    <w:rsid w:val="00897791"/>
    <w:rsid w:val="008B3A97"/>
    <w:rsid w:val="008D447B"/>
    <w:rsid w:val="008D5CA6"/>
    <w:rsid w:val="008F0037"/>
    <w:rsid w:val="008F18BE"/>
    <w:rsid w:val="008F4BB8"/>
    <w:rsid w:val="00900F84"/>
    <w:rsid w:val="00902F64"/>
    <w:rsid w:val="00902FE9"/>
    <w:rsid w:val="00904BFF"/>
    <w:rsid w:val="009060D1"/>
    <w:rsid w:val="00907A1C"/>
    <w:rsid w:val="0091002F"/>
    <w:rsid w:val="00917C28"/>
    <w:rsid w:val="00943F77"/>
    <w:rsid w:val="0094783B"/>
    <w:rsid w:val="009505CA"/>
    <w:rsid w:val="009528B1"/>
    <w:rsid w:val="00956E6F"/>
    <w:rsid w:val="00957106"/>
    <w:rsid w:val="009601A8"/>
    <w:rsid w:val="00961F93"/>
    <w:rsid w:val="009704B4"/>
    <w:rsid w:val="00970B32"/>
    <w:rsid w:val="00984389"/>
    <w:rsid w:val="00990A79"/>
    <w:rsid w:val="009A49A6"/>
    <w:rsid w:val="009A6268"/>
    <w:rsid w:val="009A6889"/>
    <w:rsid w:val="009A717E"/>
    <w:rsid w:val="009A7549"/>
    <w:rsid w:val="009A7DCB"/>
    <w:rsid w:val="009C0979"/>
    <w:rsid w:val="009C63E2"/>
    <w:rsid w:val="009C7015"/>
    <w:rsid w:val="009C7F05"/>
    <w:rsid w:val="009D2C4D"/>
    <w:rsid w:val="009D7382"/>
    <w:rsid w:val="009D7D76"/>
    <w:rsid w:val="009E04DD"/>
    <w:rsid w:val="009E50DB"/>
    <w:rsid w:val="009F0C3F"/>
    <w:rsid w:val="00A04E0D"/>
    <w:rsid w:val="00A04FCE"/>
    <w:rsid w:val="00A051A8"/>
    <w:rsid w:val="00A05F9A"/>
    <w:rsid w:val="00A1184E"/>
    <w:rsid w:val="00A135E1"/>
    <w:rsid w:val="00A14765"/>
    <w:rsid w:val="00A160E9"/>
    <w:rsid w:val="00A20004"/>
    <w:rsid w:val="00A20A9B"/>
    <w:rsid w:val="00A23D7D"/>
    <w:rsid w:val="00A259DA"/>
    <w:rsid w:val="00A25EB6"/>
    <w:rsid w:val="00A263E3"/>
    <w:rsid w:val="00A41FB5"/>
    <w:rsid w:val="00A442FE"/>
    <w:rsid w:val="00A6408C"/>
    <w:rsid w:val="00A645F3"/>
    <w:rsid w:val="00A762F1"/>
    <w:rsid w:val="00A8471A"/>
    <w:rsid w:val="00A854EC"/>
    <w:rsid w:val="00A93A6C"/>
    <w:rsid w:val="00AA0E9D"/>
    <w:rsid w:val="00AA1139"/>
    <w:rsid w:val="00AB058A"/>
    <w:rsid w:val="00AB20D4"/>
    <w:rsid w:val="00AB37D5"/>
    <w:rsid w:val="00AC076D"/>
    <w:rsid w:val="00AC1F6F"/>
    <w:rsid w:val="00AD3566"/>
    <w:rsid w:val="00AD63F7"/>
    <w:rsid w:val="00AE1FC2"/>
    <w:rsid w:val="00AF3E11"/>
    <w:rsid w:val="00AF77FA"/>
    <w:rsid w:val="00B070DE"/>
    <w:rsid w:val="00B10D34"/>
    <w:rsid w:val="00B20AB5"/>
    <w:rsid w:val="00B2344B"/>
    <w:rsid w:val="00B36A05"/>
    <w:rsid w:val="00B4247D"/>
    <w:rsid w:val="00B5184A"/>
    <w:rsid w:val="00B535D9"/>
    <w:rsid w:val="00B535ED"/>
    <w:rsid w:val="00B55F38"/>
    <w:rsid w:val="00B6500D"/>
    <w:rsid w:val="00B67BAB"/>
    <w:rsid w:val="00B72C5E"/>
    <w:rsid w:val="00B73EE4"/>
    <w:rsid w:val="00B74126"/>
    <w:rsid w:val="00B74B72"/>
    <w:rsid w:val="00B7759E"/>
    <w:rsid w:val="00B82A29"/>
    <w:rsid w:val="00B859FC"/>
    <w:rsid w:val="00B91F09"/>
    <w:rsid w:val="00B92A82"/>
    <w:rsid w:val="00BA03D5"/>
    <w:rsid w:val="00BA2B46"/>
    <w:rsid w:val="00BB0B2A"/>
    <w:rsid w:val="00BB361A"/>
    <w:rsid w:val="00BC3375"/>
    <w:rsid w:val="00BC371B"/>
    <w:rsid w:val="00BD7DDA"/>
    <w:rsid w:val="00BE399E"/>
    <w:rsid w:val="00BE7302"/>
    <w:rsid w:val="00C03DFB"/>
    <w:rsid w:val="00C0532D"/>
    <w:rsid w:val="00C134E7"/>
    <w:rsid w:val="00C1796D"/>
    <w:rsid w:val="00C22438"/>
    <w:rsid w:val="00C229B4"/>
    <w:rsid w:val="00C23C04"/>
    <w:rsid w:val="00C27411"/>
    <w:rsid w:val="00C335D1"/>
    <w:rsid w:val="00C360F8"/>
    <w:rsid w:val="00C44C59"/>
    <w:rsid w:val="00C45861"/>
    <w:rsid w:val="00C466CC"/>
    <w:rsid w:val="00C630DB"/>
    <w:rsid w:val="00C63533"/>
    <w:rsid w:val="00C6575E"/>
    <w:rsid w:val="00C736C4"/>
    <w:rsid w:val="00C745BA"/>
    <w:rsid w:val="00C77E44"/>
    <w:rsid w:val="00C81FE4"/>
    <w:rsid w:val="00C84A8B"/>
    <w:rsid w:val="00C87E42"/>
    <w:rsid w:val="00C93D33"/>
    <w:rsid w:val="00C94083"/>
    <w:rsid w:val="00C95F44"/>
    <w:rsid w:val="00C963E8"/>
    <w:rsid w:val="00CA0A60"/>
    <w:rsid w:val="00CA291E"/>
    <w:rsid w:val="00CA3770"/>
    <w:rsid w:val="00CA4238"/>
    <w:rsid w:val="00CA7575"/>
    <w:rsid w:val="00CB20CC"/>
    <w:rsid w:val="00CB62ED"/>
    <w:rsid w:val="00CB6E46"/>
    <w:rsid w:val="00CC0531"/>
    <w:rsid w:val="00CC4D28"/>
    <w:rsid w:val="00CD2E8C"/>
    <w:rsid w:val="00CD3177"/>
    <w:rsid w:val="00CD3D38"/>
    <w:rsid w:val="00CD4FD9"/>
    <w:rsid w:val="00CE02CE"/>
    <w:rsid w:val="00CE217E"/>
    <w:rsid w:val="00CE3E70"/>
    <w:rsid w:val="00CE511C"/>
    <w:rsid w:val="00CF314C"/>
    <w:rsid w:val="00CF45C7"/>
    <w:rsid w:val="00D054A5"/>
    <w:rsid w:val="00D07192"/>
    <w:rsid w:val="00D07472"/>
    <w:rsid w:val="00D07C22"/>
    <w:rsid w:val="00D20D6B"/>
    <w:rsid w:val="00D23588"/>
    <w:rsid w:val="00D2372D"/>
    <w:rsid w:val="00D25DC7"/>
    <w:rsid w:val="00D26F1E"/>
    <w:rsid w:val="00D27556"/>
    <w:rsid w:val="00D277F5"/>
    <w:rsid w:val="00D36098"/>
    <w:rsid w:val="00D36D19"/>
    <w:rsid w:val="00D40C95"/>
    <w:rsid w:val="00D51A5C"/>
    <w:rsid w:val="00D5447F"/>
    <w:rsid w:val="00D55038"/>
    <w:rsid w:val="00D73655"/>
    <w:rsid w:val="00D80645"/>
    <w:rsid w:val="00D81A71"/>
    <w:rsid w:val="00D82C14"/>
    <w:rsid w:val="00D8522D"/>
    <w:rsid w:val="00D93FAC"/>
    <w:rsid w:val="00D94656"/>
    <w:rsid w:val="00D96DC0"/>
    <w:rsid w:val="00DA204C"/>
    <w:rsid w:val="00DA2461"/>
    <w:rsid w:val="00DA407F"/>
    <w:rsid w:val="00DA6F13"/>
    <w:rsid w:val="00DA78AD"/>
    <w:rsid w:val="00DB27D3"/>
    <w:rsid w:val="00DB4BD0"/>
    <w:rsid w:val="00DC18B1"/>
    <w:rsid w:val="00DD1079"/>
    <w:rsid w:val="00DD391D"/>
    <w:rsid w:val="00DD535C"/>
    <w:rsid w:val="00DD7893"/>
    <w:rsid w:val="00DE094C"/>
    <w:rsid w:val="00DE75F4"/>
    <w:rsid w:val="00DF6273"/>
    <w:rsid w:val="00DF7237"/>
    <w:rsid w:val="00E00C7E"/>
    <w:rsid w:val="00E01318"/>
    <w:rsid w:val="00E068BF"/>
    <w:rsid w:val="00E1387E"/>
    <w:rsid w:val="00E14425"/>
    <w:rsid w:val="00E148FA"/>
    <w:rsid w:val="00E14ACB"/>
    <w:rsid w:val="00E155DB"/>
    <w:rsid w:val="00E15688"/>
    <w:rsid w:val="00E260A2"/>
    <w:rsid w:val="00E319FF"/>
    <w:rsid w:val="00E32D4C"/>
    <w:rsid w:val="00E36E4A"/>
    <w:rsid w:val="00E42212"/>
    <w:rsid w:val="00E50B1B"/>
    <w:rsid w:val="00E56F0A"/>
    <w:rsid w:val="00E63D33"/>
    <w:rsid w:val="00E649E2"/>
    <w:rsid w:val="00E67C61"/>
    <w:rsid w:val="00E80798"/>
    <w:rsid w:val="00E80A59"/>
    <w:rsid w:val="00E81205"/>
    <w:rsid w:val="00E9291E"/>
    <w:rsid w:val="00EA3475"/>
    <w:rsid w:val="00EA3494"/>
    <w:rsid w:val="00EA62E9"/>
    <w:rsid w:val="00EB0559"/>
    <w:rsid w:val="00EB3039"/>
    <w:rsid w:val="00EC5432"/>
    <w:rsid w:val="00EC6FB7"/>
    <w:rsid w:val="00ED0D1E"/>
    <w:rsid w:val="00ED55F6"/>
    <w:rsid w:val="00ED7360"/>
    <w:rsid w:val="00EF1222"/>
    <w:rsid w:val="00EF7A9F"/>
    <w:rsid w:val="00F0405F"/>
    <w:rsid w:val="00F06E15"/>
    <w:rsid w:val="00F17AF6"/>
    <w:rsid w:val="00F23227"/>
    <w:rsid w:val="00F42209"/>
    <w:rsid w:val="00F579C9"/>
    <w:rsid w:val="00F57E9D"/>
    <w:rsid w:val="00F602DA"/>
    <w:rsid w:val="00F62DBC"/>
    <w:rsid w:val="00F66544"/>
    <w:rsid w:val="00F66862"/>
    <w:rsid w:val="00F708C2"/>
    <w:rsid w:val="00F70C97"/>
    <w:rsid w:val="00F75D83"/>
    <w:rsid w:val="00F76872"/>
    <w:rsid w:val="00F769DB"/>
    <w:rsid w:val="00F84324"/>
    <w:rsid w:val="00F94C5E"/>
    <w:rsid w:val="00FA0C9F"/>
    <w:rsid w:val="00FA3113"/>
    <w:rsid w:val="00FC1F0C"/>
    <w:rsid w:val="00FC249B"/>
    <w:rsid w:val="00FC58B9"/>
    <w:rsid w:val="00FC5E9B"/>
    <w:rsid w:val="00FD00AD"/>
    <w:rsid w:val="00FD058A"/>
    <w:rsid w:val="00FD2A75"/>
    <w:rsid w:val="00FE5118"/>
    <w:rsid w:val="00FE7931"/>
    <w:rsid w:val="00FF70BD"/>
    <w:rsid w:val="00FF7F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8FA"/>
    <w:rPr>
      <w:sz w:val="24"/>
      <w:szCs w:val="24"/>
      <w:lang w:val="en-GB" w:eastAsia="pl-PL"/>
    </w:rPr>
  </w:style>
  <w:style w:type="paragraph" w:styleId="1">
    <w:name w:val="heading 1"/>
    <w:basedOn w:val="a"/>
    <w:next w:val="a"/>
    <w:qFormat/>
    <w:rsid w:val="00C335D1"/>
    <w:pPr>
      <w:keepNext/>
      <w:spacing w:before="240" w:after="60"/>
      <w:outlineLvl w:val="0"/>
    </w:pPr>
    <w:rPr>
      <w:rFonts w:ascii="Arial" w:hAnsi="Arial" w:cs="Arial"/>
      <w:b/>
      <w:bCs/>
      <w:kern w:val="32"/>
      <w:sz w:val="32"/>
      <w:szCs w:val="32"/>
    </w:rPr>
  </w:style>
  <w:style w:type="paragraph" w:styleId="2">
    <w:name w:val="heading 2"/>
    <w:basedOn w:val="a"/>
    <w:next w:val="a"/>
    <w:qFormat/>
    <w:rsid w:val="001B7AC1"/>
    <w:pPr>
      <w:keepNext/>
      <w:spacing w:before="240" w:after="60"/>
      <w:outlineLvl w:val="1"/>
    </w:pPr>
    <w:rPr>
      <w:rFonts w:ascii="Arial" w:hAnsi="Arial" w:cs="Arial"/>
      <w:b/>
      <w:bCs/>
      <w:i/>
      <w:iCs/>
      <w:sz w:val="28"/>
      <w:szCs w:val="28"/>
    </w:rPr>
  </w:style>
  <w:style w:type="paragraph" w:styleId="3">
    <w:name w:val="heading 3"/>
    <w:basedOn w:val="a"/>
    <w:next w:val="a"/>
    <w:qFormat/>
    <w:rsid w:val="00C335D1"/>
    <w:pPr>
      <w:keepNext/>
      <w:spacing w:before="240" w:after="60"/>
      <w:outlineLvl w:val="2"/>
    </w:pPr>
    <w:rPr>
      <w:rFonts w:ascii="Arial" w:hAnsi="Arial" w:cs="Arial"/>
      <w:b/>
      <w:bCs/>
      <w:sz w:val="26"/>
      <w:szCs w:val="26"/>
    </w:rPr>
  </w:style>
  <w:style w:type="paragraph" w:styleId="4">
    <w:name w:val="heading 4"/>
    <w:basedOn w:val="a"/>
    <w:next w:val="a"/>
    <w:qFormat/>
    <w:rsid w:val="00FF7FC0"/>
    <w:pPr>
      <w:keepNext/>
      <w:spacing w:before="240" w:after="60"/>
      <w:outlineLvl w:val="3"/>
    </w:pPr>
    <w:rPr>
      <w:b/>
      <w:bCs/>
      <w:sz w:val="28"/>
      <w:szCs w:val="28"/>
    </w:rPr>
  </w:style>
  <w:style w:type="paragraph" w:styleId="7">
    <w:name w:val="heading 7"/>
    <w:basedOn w:val="a"/>
    <w:next w:val="a"/>
    <w:qFormat/>
    <w:rsid w:val="004E1B1F"/>
    <w:pPr>
      <w:keepNext/>
      <w:jc w:val="center"/>
      <w:outlineLvl w:val="6"/>
    </w:pPr>
    <w:rPr>
      <w:rFonts w:ascii="Arial" w:hAnsi="Arial"/>
      <w:b/>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slov1Char">
    <w:name w:val="naslov_1 Char"/>
    <w:basedOn w:val="a"/>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rsid w:val="001B7AC1"/>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a"/>
    <w:rsid w:val="00FD058A"/>
    <w:pPr>
      <w:numPr>
        <w:numId w:val="1"/>
      </w:numPr>
      <w:spacing w:before="100" w:beforeAutospacing="1" w:after="100" w:afterAutospacing="1"/>
    </w:pPr>
    <w:rPr>
      <w:rFonts w:ascii="Arial" w:hAnsi="Arial" w:cs="Arial"/>
      <w:b/>
      <w:bCs/>
      <w:lang w:val="hr-HR"/>
    </w:rPr>
  </w:style>
  <w:style w:type="paragraph" w:styleId="a3">
    <w:name w:val="Title"/>
    <w:basedOn w:val="a"/>
    <w:link w:val="a4"/>
    <w:qFormat/>
    <w:rsid w:val="004E1B1F"/>
    <w:pPr>
      <w:jc w:val="center"/>
    </w:pPr>
    <w:rPr>
      <w:rFonts w:ascii="Comic Sans MS" w:hAnsi="Comic Sans MS"/>
      <w:kern w:val="28"/>
      <w:sz w:val="28"/>
      <w:szCs w:val="20"/>
      <w:lang w:eastAsia="de-DE"/>
    </w:rPr>
  </w:style>
  <w:style w:type="paragraph" w:styleId="30">
    <w:name w:val="toc 3"/>
    <w:basedOn w:val="a"/>
    <w:next w:val="a"/>
    <w:autoRedefine/>
    <w:semiHidden/>
    <w:rsid w:val="000913FD"/>
    <w:pPr>
      <w:tabs>
        <w:tab w:val="left" w:pos="8222"/>
      </w:tabs>
      <w:jc w:val="both"/>
    </w:pPr>
    <w:rPr>
      <w:sz w:val="22"/>
      <w:lang w:val="fi-FI" w:eastAsia="fi-FI"/>
    </w:rPr>
  </w:style>
  <w:style w:type="paragraph" w:styleId="10">
    <w:name w:val="toc 1"/>
    <w:basedOn w:val="a"/>
    <w:next w:val="a"/>
    <w:autoRedefine/>
    <w:semiHidden/>
    <w:rsid w:val="00FF7FC0"/>
    <w:rPr>
      <w:sz w:val="20"/>
      <w:szCs w:val="20"/>
      <w:lang w:eastAsia="fi-FI"/>
    </w:rPr>
  </w:style>
  <w:style w:type="character" w:styleId="a5">
    <w:name w:val="Hyperlink"/>
    <w:rsid w:val="00FF7FC0"/>
    <w:rPr>
      <w:color w:val="0000FF"/>
      <w:u w:val="single"/>
    </w:rPr>
  </w:style>
  <w:style w:type="paragraph" w:customStyle="1" w:styleId="SubTitle1">
    <w:name w:val="SubTitle 1"/>
    <w:basedOn w:val="a"/>
    <w:next w:val="a"/>
    <w:rsid w:val="007D7808"/>
    <w:pPr>
      <w:spacing w:after="240"/>
      <w:jc w:val="center"/>
    </w:pPr>
    <w:rPr>
      <w:b/>
      <w:snapToGrid w:val="0"/>
      <w:sz w:val="40"/>
      <w:szCs w:val="20"/>
      <w:lang w:eastAsia="en-GB"/>
    </w:rPr>
  </w:style>
  <w:style w:type="paragraph" w:styleId="a6">
    <w:name w:val="footer"/>
    <w:basedOn w:val="a"/>
    <w:rsid w:val="00C0532D"/>
    <w:pPr>
      <w:tabs>
        <w:tab w:val="center" w:pos="4819"/>
        <w:tab w:val="right" w:pos="9638"/>
      </w:tabs>
    </w:pPr>
  </w:style>
  <w:style w:type="character" w:styleId="a7">
    <w:name w:val="page number"/>
    <w:basedOn w:val="a0"/>
    <w:rsid w:val="00C0532D"/>
  </w:style>
  <w:style w:type="paragraph" w:styleId="20">
    <w:name w:val="toc 2"/>
    <w:basedOn w:val="a"/>
    <w:next w:val="a"/>
    <w:autoRedefine/>
    <w:semiHidden/>
    <w:rsid w:val="00526858"/>
    <w:pPr>
      <w:ind w:left="240"/>
    </w:pPr>
  </w:style>
  <w:style w:type="paragraph" w:styleId="a8">
    <w:name w:val="header"/>
    <w:basedOn w:val="a"/>
    <w:rsid w:val="00FC1F0C"/>
    <w:pPr>
      <w:tabs>
        <w:tab w:val="center" w:pos="4819"/>
        <w:tab w:val="right" w:pos="9638"/>
      </w:tabs>
    </w:pPr>
  </w:style>
  <w:style w:type="table" w:styleId="a9">
    <w:name w:val="Table Grid"/>
    <w:basedOn w:val="a1"/>
    <w:rsid w:val="00C7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240972056msonormal">
    <w:name w:val="yiv240972056msonormal"/>
    <w:basedOn w:val="a"/>
    <w:rsid w:val="00C630DB"/>
    <w:pPr>
      <w:spacing w:before="100" w:beforeAutospacing="1" w:after="100" w:afterAutospacing="1"/>
    </w:pPr>
    <w:rPr>
      <w:lang w:eastAsia="en-GB"/>
    </w:rPr>
  </w:style>
  <w:style w:type="character" w:customStyle="1" w:styleId="hps">
    <w:name w:val="hps"/>
    <w:basedOn w:val="a0"/>
    <w:rsid w:val="00DF6273"/>
  </w:style>
  <w:style w:type="paragraph" w:styleId="aa">
    <w:name w:val="List Paragraph"/>
    <w:basedOn w:val="a"/>
    <w:uiPriority w:val="34"/>
    <w:qFormat/>
    <w:rsid w:val="00306979"/>
    <w:pPr>
      <w:ind w:left="720"/>
      <w:contextualSpacing/>
    </w:pPr>
    <w:rPr>
      <w:lang w:eastAsia="en-GB"/>
    </w:rPr>
  </w:style>
  <w:style w:type="character" w:customStyle="1" w:styleId="a4">
    <w:name w:val="Название Знак"/>
    <w:link w:val="a3"/>
    <w:rsid w:val="00627C93"/>
    <w:rPr>
      <w:rFonts w:ascii="Comic Sans MS" w:hAnsi="Comic Sans MS"/>
      <w:kern w:val="28"/>
      <w:sz w:val="28"/>
      <w:lang w:val="pl-PL" w:eastAsia="de-DE"/>
    </w:rPr>
  </w:style>
  <w:style w:type="paragraph" w:customStyle="1" w:styleId="Default">
    <w:name w:val="Default"/>
    <w:rsid w:val="00627C93"/>
    <w:pPr>
      <w:autoSpaceDE w:val="0"/>
      <w:autoSpaceDN w:val="0"/>
      <w:adjustRightInd w:val="0"/>
    </w:pPr>
    <w:rPr>
      <w:rFonts w:ascii="Arial" w:hAnsi="Arial" w:cs="Arial"/>
      <w:color w:val="000000"/>
      <w:sz w:val="24"/>
      <w:szCs w:val="24"/>
      <w:lang w:val="en-GB" w:eastAsia="en-GB"/>
    </w:rPr>
  </w:style>
  <w:style w:type="paragraph" w:styleId="ab">
    <w:name w:val="No Spacing"/>
    <w:uiPriority w:val="1"/>
    <w:qFormat/>
    <w:rsid w:val="000B3EAC"/>
    <w:rPr>
      <w:rFonts w:ascii="Calibri" w:eastAsia="Calibri" w:hAnsi="Calibri"/>
      <w:sz w:val="22"/>
      <w:szCs w:val="22"/>
      <w:lang w:val="en-GB" w:eastAsia="en-US"/>
    </w:rPr>
  </w:style>
  <w:style w:type="character" w:styleId="ac">
    <w:name w:val="footnote reference"/>
    <w:semiHidden/>
    <w:unhideWhenUsed/>
    <w:rsid w:val="00BD7DDA"/>
    <w:rPr>
      <w:vertAlign w:val="superscript"/>
    </w:rPr>
  </w:style>
  <w:style w:type="paragraph" w:styleId="ad">
    <w:name w:val="Normal (Web)"/>
    <w:basedOn w:val="a"/>
    <w:uiPriority w:val="99"/>
    <w:unhideWhenUsed/>
    <w:rsid w:val="00897791"/>
    <w:pPr>
      <w:spacing w:before="100" w:beforeAutospacing="1" w:after="100" w:afterAutospacing="1"/>
    </w:pPr>
    <w:rPr>
      <w:lang w:eastAsia="en-GB"/>
    </w:rPr>
  </w:style>
  <w:style w:type="character" w:customStyle="1" w:styleId="apple-converted-space">
    <w:name w:val="apple-converted-space"/>
    <w:basedOn w:val="a0"/>
    <w:rsid w:val="00897791"/>
  </w:style>
  <w:style w:type="paragraph" w:customStyle="1" w:styleId="ParagraphNumbering">
    <w:name w:val="Paragraph Numbering"/>
    <w:basedOn w:val="a"/>
    <w:link w:val="ParagraphNumberingChar"/>
    <w:qFormat/>
    <w:rsid w:val="00B7759E"/>
    <w:pPr>
      <w:numPr>
        <w:numId w:val="26"/>
      </w:numPr>
      <w:spacing w:after="240"/>
    </w:pPr>
    <w:rPr>
      <w:lang w:val="en-US" w:eastAsia="en-US"/>
    </w:rPr>
  </w:style>
  <w:style w:type="character" w:customStyle="1" w:styleId="ParagraphNumberingChar">
    <w:name w:val="Paragraph Numbering Char"/>
    <w:link w:val="ParagraphNumbering"/>
    <w:rsid w:val="00B7759E"/>
    <w:rPr>
      <w:sz w:val="24"/>
      <w:szCs w:val="24"/>
      <w:lang w:val="en-US" w:eastAsia="en-US"/>
    </w:rPr>
  </w:style>
  <w:style w:type="paragraph" w:customStyle="1" w:styleId="11">
    <w:name w:val="Основной текст1"/>
    <w:rsid w:val="00367B48"/>
    <w:pPr>
      <w:tabs>
        <w:tab w:val="left" w:pos="3061"/>
      </w:tabs>
      <w:spacing w:line="300" w:lineRule="atLeast"/>
      <w:ind w:left="1700"/>
      <w:jc w:val="both"/>
    </w:pPr>
    <w:rPr>
      <w:rFonts w:ascii="Times" w:hAnsi="Times"/>
      <w:snapToGrid w:val="0"/>
      <w:color w:val="000000"/>
      <w:lang w:val="en-GB" w:eastAsia="en-US"/>
    </w:rPr>
  </w:style>
  <w:style w:type="paragraph" w:styleId="ae">
    <w:name w:val="Balloon Text"/>
    <w:basedOn w:val="a"/>
    <w:link w:val="af"/>
    <w:uiPriority w:val="99"/>
    <w:semiHidden/>
    <w:unhideWhenUsed/>
    <w:rsid w:val="00AB058A"/>
    <w:rPr>
      <w:rFonts w:ascii="Tahoma" w:hAnsi="Tahoma" w:cs="Tahoma"/>
      <w:sz w:val="16"/>
      <w:szCs w:val="16"/>
    </w:rPr>
  </w:style>
  <w:style w:type="character" w:customStyle="1" w:styleId="af">
    <w:name w:val="Текст выноски Знак"/>
    <w:basedOn w:val="a0"/>
    <w:link w:val="ae"/>
    <w:uiPriority w:val="99"/>
    <w:semiHidden/>
    <w:rsid w:val="00AB058A"/>
    <w:rPr>
      <w:rFonts w:ascii="Tahoma" w:hAnsi="Tahoma" w:cs="Tahoma"/>
      <w:sz w:val="16"/>
      <w:szCs w:val="16"/>
      <w:lang w:val="en-GB" w:eastAsia="pl-PL"/>
    </w:rPr>
  </w:style>
  <w:style w:type="paragraph" w:customStyle="1" w:styleId="af0">
    <w:name w:val="Знак Знак Знак"/>
    <w:basedOn w:val="a"/>
    <w:rsid w:val="00AB058A"/>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8FA"/>
    <w:rPr>
      <w:sz w:val="24"/>
      <w:szCs w:val="24"/>
      <w:lang w:val="en-GB" w:eastAsia="pl-PL"/>
    </w:rPr>
  </w:style>
  <w:style w:type="paragraph" w:styleId="1">
    <w:name w:val="heading 1"/>
    <w:basedOn w:val="a"/>
    <w:next w:val="a"/>
    <w:qFormat/>
    <w:rsid w:val="00C335D1"/>
    <w:pPr>
      <w:keepNext/>
      <w:spacing w:before="240" w:after="60"/>
      <w:outlineLvl w:val="0"/>
    </w:pPr>
    <w:rPr>
      <w:rFonts w:ascii="Arial" w:hAnsi="Arial" w:cs="Arial"/>
      <w:b/>
      <w:bCs/>
      <w:kern w:val="32"/>
      <w:sz w:val="32"/>
      <w:szCs w:val="32"/>
    </w:rPr>
  </w:style>
  <w:style w:type="paragraph" w:styleId="2">
    <w:name w:val="heading 2"/>
    <w:basedOn w:val="a"/>
    <w:next w:val="a"/>
    <w:qFormat/>
    <w:rsid w:val="001B7AC1"/>
    <w:pPr>
      <w:keepNext/>
      <w:spacing w:before="240" w:after="60"/>
      <w:outlineLvl w:val="1"/>
    </w:pPr>
    <w:rPr>
      <w:rFonts w:ascii="Arial" w:hAnsi="Arial" w:cs="Arial"/>
      <w:b/>
      <w:bCs/>
      <w:i/>
      <w:iCs/>
      <w:sz w:val="28"/>
      <w:szCs w:val="28"/>
    </w:rPr>
  </w:style>
  <w:style w:type="paragraph" w:styleId="3">
    <w:name w:val="heading 3"/>
    <w:basedOn w:val="a"/>
    <w:next w:val="a"/>
    <w:qFormat/>
    <w:rsid w:val="00C335D1"/>
    <w:pPr>
      <w:keepNext/>
      <w:spacing w:before="240" w:after="60"/>
      <w:outlineLvl w:val="2"/>
    </w:pPr>
    <w:rPr>
      <w:rFonts w:ascii="Arial" w:hAnsi="Arial" w:cs="Arial"/>
      <w:b/>
      <w:bCs/>
      <w:sz w:val="26"/>
      <w:szCs w:val="26"/>
    </w:rPr>
  </w:style>
  <w:style w:type="paragraph" w:styleId="4">
    <w:name w:val="heading 4"/>
    <w:basedOn w:val="a"/>
    <w:next w:val="a"/>
    <w:qFormat/>
    <w:rsid w:val="00FF7FC0"/>
    <w:pPr>
      <w:keepNext/>
      <w:spacing w:before="240" w:after="60"/>
      <w:outlineLvl w:val="3"/>
    </w:pPr>
    <w:rPr>
      <w:b/>
      <w:bCs/>
      <w:sz w:val="28"/>
      <w:szCs w:val="28"/>
    </w:rPr>
  </w:style>
  <w:style w:type="paragraph" w:styleId="7">
    <w:name w:val="heading 7"/>
    <w:basedOn w:val="a"/>
    <w:next w:val="a"/>
    <w:qFormat/>
    <w:rsid w:val="004E1B1F"/>
    <w:pPr>
      <w:keepNext/>
      <w:jc w:val="center"/>
      <w:outlineLvl w:val="6"/>
    </w:pPr>
    <w:rPr>
      <w:rFonts w:ascii="Arial" w:hAnsi="Arial"/>
      <w:b/>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slov1Char">
    <w:name w:val="naslov_1 Char"/>
    <w:basedOn w:val="a"/>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rsid w:val="001B7AC1"/>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a"/>
    <w:rsid w:val="00FD058A"/>
    <w:pPr>
      <w:numPr>
        <w:numId w:val="1"/>
      </w:numPr>
      <w:spacing w:before="100" w:beforeAutospacing="1" w:after="100" w:afterAutospacing="1"/>
    </w:pPr>
    <w:rPr>
      <w:rFonts w:ascii="Arial" w:hAnsi="Arial" w:cs="Arial"/>
      <w:b/>
      <w:bCs/>
      <w:lang w:val="hr-HR"/>
    </w:rPr>
  </w:style>
  <w:style w:type="paragraph" w:styleId="a3">
    <w:name w:val="Title"/>
    <w:basedOn w:val="a"/>
    <w:link w:val="a4"/>
    <w:qFormat/>
    <w:rsid w:val="004E1B1F"/>
    <w:pPr>
      <w:jc w:val="center"/>
    </w:pPr>
    <w:rPr>
      <w:rFonts w:ascii="Comic Sans MS" w:hAnsi="Comic Sans MS"/>
      <w:kern w:val="28"/>
      <w:sz w:val="28"/>
      <w:szCs w:val="20"/>
      <w:lang w:eastAsia="de-DE"/>
    </w:rPr>
  </w:style>
  <w:style w:type="paragraph" w:styleId="30">
    <w:name w:val="toc 3"/>
    <w:basedOn w:val="a"/>
    <w:next w:val="a"/>
    <w:autoRedefine/>
    <w:semiHidden/>
    <w:rsid w:val="000913FD"/>
    <w:pPr>
      <w:tabs>
        <w:tab w:val="left" w:pos="8222"/>
      </w:tabs>
      <w:jc w:val="both"/>
    </w:pPr>
    <w:rPr>
      <w:sz w:val="22"/>
      <w:lang w:val="fi-FI" w:eastAsia="fi-FI"/>
    </w:rPr>
  </w:style>
  <w:style w:type="paragraph" w:styleId="10">
    <w:name w:val="toc 1"/>
    <w:basedOn w:val="a"/>
    <w:next w:val="a"/>
    <w:autoRedefine/>
    <w:semiHidden/>
    <w:rsid w:val="00FF7FC0"/>
    <w:rPr>
      <w:sz w:val="20"/>
      <w:szCs w:val="20"/>
      <w:lang w:eastAsia="fi-FI"/>
    </w:rPr>
  </w:style>
  <w:style w:type="character" w:styleId="a5">
    <w:name w:val="Hyperlink"/>
    <w:rsid w:val="00FF7FC0"/>
    <w:rPr>
      <w:color w:val="0000FF"/>
      <w:u w:val="single"/>
    </w:rPr>
  </w:style>
  <w:style w:type="paragraph" w:customStyle="1" w:styleId="SubTitle1">
    <w:name w:val="SubTitle 1"/>
    <w:basedOn w:val="a"/>
    <w:next w:val="a"/>
    <w:rsid w:val="007D7808"/>
    <w:pPr>
      <w:spacing w:after="240"/>
      <w:jc w:val="center"/>
    </w:pPr>
    <w:rPr>
      <w:b/>
      <w:snapToGrid w:val="0"/>
      <w:sz w:val="40"/>
      <w:szCs w:val="20"/>
      <w:lang w:eastAsia="en-GB"/>
    </w:rPr>
  </w:style>
  <w:style w:type="paragraph" w:styleId="a6">
    <w:name w:val="footer"/>
    <w:basedOn w:val="a"/>
    <w:rsid w:val="00C0532D"/>
    <w:pPr>
      <w:tabs>
        <w:tab w:val="center" w:pos="4819"/>
        <w:tab w:val="right" w:pos="9638"/>
      </w:tabs>
    </w:pPr>
  </w:style>
  <w:style w:type="character" w:styleId="a7">
    <w:name w:val="page number"/>
    <w:basedOn w:val="a0"/>
    <w:rsid w:val="00C0532D"/>
  </w:style>
  <w:style w:type="paragraph" w:styleId="20">
    <w:name w:val="toc 2"/>
    <w:basedOn w:val="a"/>
    <w:next w:val="a"/>
    <w:autoRedefine/>
    <w:semiHidden/>
    <w:rsid w:val="00526858"/>
    <w:pPr>
      <w:ind w:left="240"/>
    </w:pPr>
  </w:style>
  <w:style w:type="paragraph" w:styleId="a8">
    <w:name w:val="header"/>
    <w:basedOn w:val="a"/>
    <w:rsid w:val="00FC1F0C"/>
    <w:pPr>
      <w:tabs>
        <w:tab w:val="center" w:pos="4819"/>
        <w:tab w:val="right" w:pos="9638"/>
      </w:tabs>
    </w:pPr>
  </w:style>
  <w:style w:type="table" w:styleId="a9">
    <w:name w:val="Table Grid"/>
    <w:basedOn w:val="a1"/>
    <w:rsid w:val="00C7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240972056msonormal">
    <w:name w:val="yiv240972056msonormal"/>
    <w:basedOn w:val="a"/>
    <w:rsid w:val="00C630DB"/>
    <w:pPr>
      <w:spacing w:before="100" w:beforeAutospacing="1" w:after="100" w:afterAutospacing="1"/>
    </w:pPr>
    <w:rPr>
      <w:lang w:eastAsia="en-GB"/>
    </w:rPr>
  </w:style>
  <w:style w:type="character" w:customStyle="1" w:styleId="hps">
    <w:name w:val="hps"/>
    <w:basedOn w:val="a0"/>
    <w:rsid w:val="00DF6273"/>
  </w:style>
  <w:style w:type="paragraph" w:styleId="aa">
    <w:name w:val="List Paragraph"/>
    <w:basedOn w:val="a"/>
    <w:uiPriority w:val="34"/>
    <w:qFormat/>
    <w:rsid w:val="00306979"/>
    <w:pPr>
      <w:ind w:left="720"/>
      <w:contextualSpacing/>
    </w:pPr>
    <w:rPr>
      <w:lang w:eastAsia="en-GB"/>
    </w:rPr>
  </w:style>
  <w:style w:type="character" w:customStyle="1" w:styleId="a4">
    <w:name w:val="Название Знак"/>
    <w:link w:val="a3"/>
    <w:rsid w:val="00627C93"/>
    <w:rPr>
      <w:rFonts w:ascii="Comic Sans MS" w:hAnsi="Comic Sans MS"/>
      <w:kern w:val="28"/>
      <w:sz w:val="28"/>
      <w:lang w:val="pl-PL" w:eastAsia="de-DE"/>
    </w:rPr>
  </w:style>
  <w:style w:type="paragraph" w:customStyle="1" w:styleId="Default">
    <w:name w:val="Default"/>
    <w:rsid w:val="00627C93"/>
    <w:pPr>
      <w:autoSpaceDE w:val="0"/>
      <w:autoSpaceDN w:val="0"/>
      <w:adjustRightInd w:val="0"/>
    </w:pPr>
    <w:rPr>
      <w:rFonts w:ascii="Arial" w:hAnsi="Arial" w:cs="Arial"/>
      <w:color w:val="000000"/>
      <w:sz w:val="24"/>
      <w:szCs w:val="24"/>
      <w:lang w:val="en-GB" w:eastAsia="en-GB"/>
    </w:rPr>
  </w:style>
  <w:style w:type="paragraph" w:styleId="ab">
    <w:name w:val="No Spacing"/>
    <w:uiPriority w:val="1"/>
    <w:qFormat/>
    <w:rsid w:val="000B3EAC"/>
    <w:rPr>
      <w:rFonts w:ascii="Calibri" w:eastAsia="Calibri" w:hAnsi="Calibri"/>
      <w:sz w:val="22"/>
      <w:szCs w:val="22"/>
      <w:lang w:val="en-GB" w:eastAsia="en-US"/>
    </w:rPr>
  </w:style>
  <w:style w:type="character" w:styleId="ac">
    <w:name w:val="footnote reference"/>
    <w:semiHidden/>
    <w:unhideWhenUsed/>
    <w:rsid w:val="00BD7DDA"/>
    <w:rPr>
      <w:vertAlign w:val="superscript"/>
    </w:rPr>
  </w:style>
  <w:style w:type="paragraph" w:styleId="ad">
    <w:name w:val="Normal (Web)"/>
    <w:basedOn w:val="a"/>
    <w:uiPriority w:val="99"/>
    <w:unhideWhenUsed/>
    <w:rsid w:val="00897791"/>
    <w:pPr>
      <w:spacing w:before="100" w:beforeAutospacing="1" w:after="100" w:afterAutospacing="1"/>
    </w:pPr>
    <w:rPr>
      <w:lang w:eastAsia="en-GB"/>
    </w:rPr>
  </w:style>
  <w:style w:type="character" w:customStyle="1" w:styleId="apple-converted-space">
    <w:name w:val="apple-converted-space"/>
    <w:basedOn w:val="a0"/>
    <w:rsid w:val="00897791"/>
  </w:style>
  <w:style w:type="paragraph" w:customStyle="1" w:styleId="ParagraphNumbering">
    <w:name w:val="Paragraph Numbering"/>
    <w:basedOn w:val="a"/>
    <w:link w:val="ParagraphNumberingChar"/>
    <w:qFormat/>
    <w:rsid w:val="00B7759E"/>
    <w:pPr>
      <w:numPr>
        <w:numId w:val="26"/>
      </w:numPr>
      <w:spacing w:after="240"/>
    </w:pPr>
    <w:rPr>
      <w:lang w:val="en-US" w:eastAsia="en-US"/>
    </w:rPr>
  </w:style>
  <w:style w:type="character" w:customStyle="1" w:styleId="ParagraphNumberingChar">
    <w:name w:val="Paragraph Numbering Char"/>
    <w:link w:val="ParagraphNumbering"/>
    <w:rsid w:val="00B7759E"/>
    <w:rPr>
      <w:sz w:val="24"/>
      <w:szCs w:val="24"/>
      <w:lang w:val="en-US" w:eastAsia="en-US"/>
    </w:rPr>
  </w:style>
  <w:style w:type="paragraph" w:customStyle="1" w:styleId="11">
    <w:name w:val="Основной текст1"/>
    <w:rsid w:val="00367B48"/>
    <w:pPr>
      <w:tabs>
        <w:tab w:val="left" w:pos="3061"/>
      </w:tabs>
      <w:spacing w:line="300" w:lineRule="atLeast"/>
      <w:ind w:left="1700"/>
      <w:jc w:val="both"/>
    </w:pPr>
    <w:rPr>
      <w:rFonts w:ascii="Times" w:hAnsi="Times"/>
      <w:snapToGrid w:val="0"/>
      <w:color w:val="000000"/>
      <w:lang w:val="en-GB" w:eastAsia="en-US"/>
    </w:rPr>
  </w:style>
  <w:style w:type="paragraph" w:styleId="ae">
    <w:name w:val="Balloon Text"/>
    <w:basedOn w:val="a"/>
    <w:link w:val="af"/>
    <w:uiPriority w:val="99"/>
    <w:semiHidden/>
    <w:unhideWhenUsed/>
    <w:rsid w:val="00AB058A"/>
    <w:rPr>
      <w:rFonts w:ascii="Tahoma" w:hAnsi="Tahoma" w:cs="Tahoma"/>
      <w:sz w:val="16"/>
      <w:szCs w:val="16"/>
    </w:rPr>
  </w:style>
  <w:style w:type="character" w:customStyle="1" w:styleId="af">
    <w:name w:val="Текст выноски Знак"/>
    <w:basedOn w:val="a0"/>
    <w:link w:val="ae"/>
    <w:uiPriority w:val="99"/>
    <w:semiHidden/>
    <w:rsid w:val="00AB058A"/>
    <w:rPr>
      <w:rFonts w:ascii="Tahoma" w:hAnsi="Tahoma" w:cs="Tahoma"/>
      <w:sz w:val="16"/>
      <w:szCs w:val="16"/>
      <w:lang w:val="en-GB" w:eastAsia="pl-PL"/>
    </w:rPr>
  </w:style>
  <w:style w:type="paragraph" w:customStyle="1" w:styleId="af0">
    <w:name w:val="Знак Знак Знак"/>
    <w:basedOn w:val="a"/>
    <w:rsid w:val="00AB058A"/>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7628">
      <w:bodyDiv w:val="1"/>
      <w:marLeft w:val="0"/>
      <w:marRight w:val="0"/>
      <w:marTop w:val="0"/>
      <w:marBottom w:val="0"/>
      <w:divBdr>
        <w:top w:val="none" w:sz="0" w:space="0" w:color="auto"/>
        <w:left w:val="none" w:sz="0" w:space="0" w:color="auto"/>
        <w:bottom w:val="none" w:sz="0" w:space="0" w:color="auto"/>
        <w:right w:val="none" w:sz="0" w:space="0" w:color="auto"/>
      </w:divBdr>
      <w:divsChild>
        <w:div w:id="97139152">
          <w:marLeft w:val="547"/>
          <w:marRight w:val="0"/>
          <w:marTop w:val="120"/>
          <w:marBottom w:val="0"/>
          <w:divBdr>
            <w:top w:val="none" w:sz="0" w:space="0" w:color="auto"/>
            <w:left w:val="none" w:sz="0" w:space="0" w:color="auto"/>
            <w:bottom w:val="none" w:sz="0" w:space="0" w:color="auto"/>
            <w:right w:val="none" w:sz="0" w:space="0" w:color="auto"/>
          </w:divBdr>
        </w:div>
        <w:div w:id="195243936">
          <w:marLeft w:val="547"/>
          <w:marRight w:val="0"/>
          <w:marTop w:val="120"/>
          <w:marBottom w:val="0"/>
          <w:divBdr>
            <w:top w:val="none" w:sz="0" w:space="0" w:color="auto"/>
            <w:left w:val="none" w:sz="0" w:space="0" w:color="auto"/>
            <w:bottom w:val="none" w:sz="0" w:space="0" w:color="auto"/>
            <w:right w:val="none" w:sz="0" w:space="0" w:color="auto"/>
          </w:divBdr>
        </w:div>
        <w:div w:id="632905920">
          <w:marLeft w:val="547"/>
          <w:marRight w:val="0"/>
          <w:marTop w:val="120"/>
          <w:marBottom w:val="0"/>
          <w:divBdr>
            <w:top w:val="none" w:sz="0" w:space="0" w:color="auto"/>
            <w:left w:val="none" w:sz="0" w:space="0" w:color="auto"/>
            <w:bottom w:val="none" w:sz="0" w:space="0" w:color="auto"/>
            <w:right w:val="none" w:sz="0" w:space="0" w:color="auto"/>
          </w:divBdr>
        </w:div>
        <w:div w:id="764768312">
          <w:marLeft w:val="547"/>
          <w:marRight w:val="0"/>
          <w:marTop w:val="120"/>
          <w:marBottom w:val="0"/>
          <w:divBdr>
            <w:top w:val="none" w:sz="0" w:space="0" w:color="auto"/>
            <w:left w:val="none" w:sz="0" w:space="0" w:color="auto"/>
            <w:bottom w:val="none" w:sz="0" w:space="0" w:color="auto"/>
            <w:right w:val="none" w:sz="0" w:space="0" w:color="auto"/>
          </w:divBdr>
        </w:div>
        <w:div w:id="821504567">
          <w:marLeft w:val="547"/>
          <w:marRight w:val="0"/>
          <w:marTop w:val="120"/>
          <w:marBottom w:val="0"/>
          <w:divBdr>
            <w:top w:val="none" w:sz="0" w:space="0" w:color="auto"/>
            <w:left w:val="none" w:sz="0" w:space="0" w:color="auto"/>
            <w:bottom w:val="none" w:sz="0" w:space="0" w:color="auto"/>
            <w:right w:val="none" w:sz="0" w:space="0" w:color="auto"/>
          </w:divBdr>
        </w:div>
        <w:div w:id="843322484">
          <w:marLeft w:val="547"/>
          <w:marRight w:val="0"/>
          <w:marTop w:val="120"/>
          <w:marBottom w:val="0"/>
          <w:divBdr>
            <w:top w:val="none" w:sz="0" w:space="0" w:color="auto"/>
            <w:left w:val="none" w:sz="0" w:space="0" w:color="auto"/>
            <w:bottom w:val="none" w:sz="0" w:space="0" w:color="auto"/>
            <w:right w:val="none" w:sz="0" w:space="0" w:color="auto"/>
          </w:divBdr>
        </w:div>
        <w:div w:id="923684765">
          <w:marLeft w:val="547"/>
          <w:marRight w:val="0"/>
          <w:marTop w:val="120"/>
          <w:marBottom w:val="0"/>
          <w:divBdr>
            <w:top w:val="none" w:sz="0" w:space="0" w:color="auto"/>
            <w:left w:val="none" w:sz="0" w:space="0" w:color="auto"/>
            <w:bottom w:val="none" w:sz="0" w:space="0" w:color="auto"/>
            <w:right w:val="none" w:sz="0" w:space="0" w:color="auto"/>
          </w:divBdr>
        </w:div>
        <w:div w:id="1217006696">
          <w:marLeft w:val="547"/>
          <w:marRight w:val="0"/>
          <w:marTop w:val="120"/>
          <w:marBottom w:val="0"/>
          <w:divBdr>
            <w:top w:val="none" w:sz="0" w:space="0" w:color="auto"/>
            <w:left w:val="none" w:sz="0" w:space="0" w:color="auto"/>
            <w:bottom w:val="none" w:sz="0" w:space="0" w:color="auto"/>
            <w:right w:val="none" w:sz="0" w:space="0" w:color="auto"/>
          </w:divBdr>
        </w:div>
        <w:div w:id="1803845247">
          <w:marLeft w:val="547"/>
          <w:marRight w:val="0"/>
          <w:marTop w:val="106"/>
          <w:marBottom w:val="0"/>
          <w:divBdr>
            <w:top w:val="none" w:sz="0" w:space="0" w:color="auto"/>
            <w:left w:val="none" w:sz="0" w:space="0" w:color="auto"/>
            <w:bottom w:val="none" w:sz="0" w:space="0" w:color="auto"/>
            <w:right w:val="none" w:sz="0" w:space="0" w:color="auto"/>
          </w:divBdr>
        </w:div>
        <w:div w:id="1819691384">
          <w:marLeft w:val="547"/>
          <w:marRight w:val="0"/>
          <w:marTop w:val="120"/>
          <w:marBottom w:val="0"/>
          <w:divBdr>
            <w:top w:val="none" w:sz="0" w:space="0" w:color="auto"/>
            <w:left w:val="none" w:sz="0" w:space="0" w:color="auto"/>
            <w:bottom w:val="none" w:sz="0" w:space="0" w:color="auto"/>
            <w:right w:val="none" w:sz="0" w:space="0" w:color="auto"/>
          </w:divBdr>
        </w:div>
      </w:divsChild>
    </w:div>
    <w:div w:id="280112291">
      <w:bodyDiv w:val="1"/>
      <w:marLeft w:val="0"/>
      <w:marRight w:val="0"/>
      <w:marTop w:val="0"/>
      <w:marBottom w:val="0"/>
      <w:divBdr>
        <w:top w:val="none" w:sz="0" w:space="0" w:color="auto"/>
        <w:left w:val="none" w:sz="0" w:space="0" w:color="auto"/>
        <w:bottom w:val="none" w:sz="0" w:space="0" w:color="auto"/>
        <w:right w:val="none" w:sz="0" w:space="0" w:color="auto"/>
      </w:divBdr>
    </w:div>
    <w:div w:id="351225147">
      <w:bodyDiv w:val="1"/>
      <w:marLeft w:val="0"/>
      <w:marRight w:val="0"/>
      <w:marTop w:val="0"/>
      <w:marBottom w:val="0"/>
      <w:divBdr>
        <w:top w:val="none" w:sz="0" w:space="0" w:color="auto"/>
        <w:left w:val="none" w:sz="0" w:space="0" w:color="auto"/>
        <w:bottom w:val="none" w:sz="0" w:space="0" w:color="auto"/>
        <w:right w:val="none" w:sz="0" w:space="0" w:color="auto"/>
      </w:divBdr>
    </w:div>
    <w:div w:id="436220445">
      <w:bodyDiv w:val="1"/>
      <w:marLeft w:val="0"/>
      <w:marRight w:val="0"/>
      <w:marTop w:val="0"/>
      <w:marBottom w:val="0"/>
      <w:divBdr>
        <w:top w:val="none" w:sz="0" w:space="0" w:color="auto"/>
        <w:left w:val="none" w:sz="0" w:space="0" w:color="auto"/>
        <w:bottom w:val="none" w:sz="0" w:space="0" w:color="auto"/>
        <w:right w:val="none" w:sz="0" w:space="0" w:color="auto"/>
      </w:divBdr>
      <w:divsChild>
        <w:div w:id="945162409">
          <w:marLeft w:val="547"/>
          <w:marRight w:val="0"/>
          <w:marTop w:val="115"/>
          <w:marBottom w:val="0"/>
          <w:divBdr>
            <w:top w:val="none" w:sz="0" w:space="0" w:color="auto"/>
            <w:left w:val="none" w:sz="0" w:space="0" w:color="auto"/>
            <w:bottom w:val="none" w:sz="0" w:space="0" w:color="auto"/>
            <w:right w:val="none" w:sz="0" w:space="0" w:color="auto"/>
          </w:divBdr>
        </w:div>
        <w:div w:id="1018384857">
          <w:marLeft w:val="1166"/>
          <w:marRight w:val="0"/>
          <w:marTop w:val="96"/>
          <w:marBottom w:val="0"/>
          <w:divBdr>
            <w:top w:val="none" w:sz="0" w:space="0" w:color="auto"/>
            <w:left w:val="none" w:sz="0" w:space="0" w:color="auto"/>
            <w:bottom w:val="none" w:sz="0" w:space="0" w:color="auto"/>
            <w:right w:val="none" w:sz="0" w:space="0" w:color="auto"/>
          </w:divBdr>
        </w:div>
        <w:div w:id="1251500665">
          <w:marLeft w:val="1166"/>
          <w:marRight w:val="0"/>
          <w:marTop w:val="96"/>
          <w:marBottom w:val="0"/>
          <w:divBdr>
            <w:top w:val="none" w:sz="0" w:space="0" w:color="auto"/>
            <w:left w:val="none" w:sz="0" w:space="0" w:color="auto"/>
            <w:bottom w:val="none" w:sz="0" w:space="0" w:color="auto"/>
            <w:right w:val="none" w:sz="0" w:space="0" w:color="auto"/>
          </w:divBdr>
        </w:div>
        <w:div w:id="1893271224">
          <w:marLeft w:val="1166"/>
          <w:marRight w:val="0"/>
          <w:marTop w:val="96"/>
          <w:marBottom w:val="0"/>
          <w:divBdr>
            <w:top w:val="none" w:sz="0" w:space="0" w:color="auto"/>
            <w:left w:val="none" w:sz="0" w:space="0" w:color="auto"/>
            <w:bottom w:val="none" w:sz="0" w:space="0" w:color="auto"/>
            <w:right w:val="none" w:sz="0" w:space="0" w:color="auto"/>
          </w:divBdr>
        </w:div>
      </w:divsChild>
    </w:div>
    <w:div w:id="453528083">
      <w:bodyDiv w:val="1"/>
      <w:marLeft w:val="0"/>
      <w:marRight w:val="0"/>
      <w:marTop w:val="0"/>
      <w:marBottom w:val="0"/>
      <w:divBdr>
        <w:top w:val="none" w:sz="0" w:space="0" w:color="auto"/>
        <w:left w:val="none" w:sz="0" w:space="0" w:color="auto"/>
        <w:bottom w:val="none" w:sz="0" w:space="0" w:color="auto"/>
        <w:right w:val="none" w:sz="0" w:space="0" w:color="auto"/>
      </w:divBdr>
    </w:div>
    <w:div w:id="669454711">
      <w:bodyDiv w:val="1"/>
      <w:marLeft w:val="0"/>
      <w:marRight w:val="0"/>
      <w:marTop w:val="0"/>
      <w:marBottom w:val="0"/>
      <w:divBdr>
        <w:top w:val="none" w:sz="0" w:space="0" w:color="auto"/>
        <w:left w:val="none" w:sz="0" w:space="0" w:color="auto"/>
        <w:bottom w:val="none" w:sz="0" w:space="0" w:color="auto"/>
        <w:right w:val="none" w:sz="0" w:space="0" w:color="auto"/>
      </w:divBdr>
      <w:divsChild>
        <w:div w:id="587545762">
          <w:marLeft w:val="0"/>
          <w:marRight w:val="0"/>
          <w:marTop w:val="0"/>
          <w:marBottom w:val="0"/>
          <w:divBdr>
            <w:top w:val="none" w:sz="0" w:space="0" w:color="auto"/>
            <w:left w:val="none" w:sz="0" w:space="0" w:color="auto"/>
            <w:bottom w:val="none" w:sz="0" w:space="0" w:color="auto"/>
            <w:right w:val="none" w:sz="0" w:space="0" w:color="auto"/>
          </w:divBdr>
          <w:divsChild>
            <w:div w:id="1573655577">
              <w:marLeft w:val="0"/>
              <w:marRight w:val="0"/>
              <w:marTop w:val="0"/>
              <w:marBottom w:val="0"/>
              <w:divBdr>
                <w:top w:val="none" w:sz="0" w:space="0" w:color="auto"/>
                <w:left w:val="none" w:sz="0" w:space="0" w:color="auto"/>
                <w:bottom w:val="none" w:sz="0" w:space="0" w:color="auto"/>
                <w:right w:val="none" w:sz="0" w:space="0" w:color="auto"/>
              </w:divBdr>
              <w:divsChild>
                <w:div w:id="443117692">
                  <w:marLeft w:val="0"/>
                  <w:marRight w:val="0"/>
                  <w:marTop w:val="0"/>
                  <w:marBottom w:val="0"/>
                  <w:divBdr>
                    <w:top w:val="none" w:sz="0" w:space="0" w:color="auto"/>
                    <w:left w:val="none" w:sz="0" w:space="0" w:color="auto"/>
                    <w:bottom w:val="none" w:sz="0" w:space="0" w:color="auto"/>
                    <w:right w:val="none" w:sz="0" w:space="0" w:color="auto"/>
                  </w:divBdr>
                  <w:divsChild>
                    <w:div w:id="739182536">
                      <w:marLeft w:val="0"/>
                      <w:marRight w:val="0"/>
                      <w:marTop w:val="0"/>
                      <w:marBottom w:val="0"/>
                      <w:divBdr>
                        <w:top w:val="none" w:sz="0" w:space="0" w:color="auto"/>
                        <w:left w:val="none" w:sz="0" w:space="0" w:color="auto"/>
                        <w:bottom w:val="none" w:sz="0" w:space="0" w:color="auto"/>
                        <w:right w:val="none" w:sz="0" w:space="0" w:color="auto"/>
                      </w:divBdr>
                      <w:divsChild>
                        <w:div w:id="387995749">
                          <w:marLeft w:val="0"/>
                          <w:marRight w:val="0"/>
                          <w:marTop w:val="0"/>
                          <w:marBottom w:val="0"/>
                          <w:divBdr>
                            <w:top w:val="none" w:sz="0" w:space="0" w:color="auto"/>
                            <w:left w:val="none" w:sz="0" w:space="0" w:color="auto"/>
                            <w:bottom w:val="none" w:sz="0" w:space="0" w:color="auto"/>
                            <w:right w:val="none" w:sz="0" w:space="0" w:color="auto"/>
                          </w:divBdr>
                          <w:divsChild>
                            <w:div w:id="2137135226">
                              <w:marLeft w:val="0"/>
                              <w:marRight w:val="0"/>
                              <w:marTop w:val="0"/>
                              <w:marBottom w:val="0"/>
                              <w:divBdr>
                                <w:top w:val="none" w:sz="0" w:space="0" w:color="auto"/>
                                <w:left w:val="none" w:sz="0" w:space="0" w:color="auto"/>
                                <w:bottom w:val="none" w:sz="0" w:space="0" w:color="auto"/>
                                <w:right w:val="none" w:sz="0" w:space="0" w:color="auto"/>
                              </w:divBdr>
                              <w:divsChild>
                                <w:div w:id="268316395">
                                  <w:marLeft w:val="60"/>
                                  <w:marRight w:val="60"/>
                                  <w:marTop w:val="0"/>
                                  <w:marBottom w:val="0"/>
                                  <w:divBdr>
                                    <w:top w:val="none" w:sz="0" w:space="0" w:color="auto"/>
                                    <w:left w:val="none" w:sz="0" w:space="0" w:color="auto"/>
                                    <w:bottom w:val="none" w:sz="0" w:space="0" w:color="auto"/>
                                    <w:right w:val="none" w:sz="0" w:space="0" w:color="auto"/>
                                  </w:divBdr>
                                  <w:divsChild>
                                    <w:div w:id="365764480">
                                      <w:marLeft w:val="0"/>
                                      <w:marRight w:val="0"/>
                                      <w:marTop w:val="0"/>
                                      <w:marBottom w:val="100"/>
                                      <w:divBdr>
                                        <w:top w:val="none" w:sz="0" w:space="0" w:color="auto"/>
                                        <w:left w:val="none" w:sz="0" w:space="0" w:color="auto"/>
                                        <w:bottom w:val="none" w:sz="0" w:space="0" w:color="auto"/>
                                        <w:right w:val="none" w:sz="0" w:space="0" w:color="auto"/>
                                      </w:divBdr>
                                      <w:divsChild>
                                        <w:div w:id="736054868">
                                          <w:marLeft w:val="0"/>
                                          <w:marRight w:val="0"/>
                                          <w:marTop w:val="0"/>
                                          <w:marBottom w:val="100"/>
                                          <w:divBdr>
                                            <w:top w:val="none" w:sz="0" w:space="0" w:color="auto"/>
                                            <w:left w:val="none" w:sz="0" w:space="0" w:color="auto"/>
                                            <w:bottom w:val="none" w:sz="0" w:space="0" w:color="auto"/>
                                            <w:right w:val="none" w:sz="0" w:space="0" w:color="auto"/>
                                          </w:divBdr>
                                          <w:divsChild>
                                            <w:div w:id="13699741">
                                              <w:marLeft w:val="0"/>
                                              <w:marRight w:val="0"/>
                                              <w:marTop w:val="0"/>
                                              <w:marBottom w:val="100"/>
                                              <w:divBdr>
                                                <w:top w:val="none" w:sz="0" w:space="0" w:color="auto"/>
                                                <w:left w:val="none" w:sz="0" w:space="0" w:color="auto"/>
                                                <w:bottom w:val="none" w:sz="0" w:space="0" w:color="auto"/>
                                                <w:right w:val="none" w:sz="0" w:space="0" w:color="auto"/>
                                              </w:divBdr>
                                              <w:divsChild>
                                                <w:div w:id="992104710">
                                                  <w:marLeft w:val="0"/>
                                                  <w:marRight w:val="0"/>
                                                  <w:marTop w:val="0"/>
                                                  <w:marBottom w:val="0"/>
                                                  <w:divBdr>
                                                    <w:top w:val="none" w:sz="0" w:space="0" w:color="auto"/>
                                                    <w:left w:val="none" w:sz="0" w:space="0" w:color="auto"/>
                                                    <w:bottom w:val="none" w:sz="0" w:space="0" w:color="auto"/>
                                                    <w:right w:val="none" w:sz="0" w:space="0" w:color="auto"/>
                                                  </w:divBdr>
                                                </w:div>
                                                <w:div w:id="17600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980704">
      <w:bodyDiv w:val="1"/>
      <w:marLeft w:val="0"/>
      <w:marRight w:val="0"/>
      <w:marTop w:val="0"/>
      <w:marBottom w:val="0"/>
      <w:divBdr>
        <w:top w:val="none" w:sz="0" w:space="0" w:color="auto"/>
        <w:left w:val="none" w:sz="0" w:space="0" w:color="auto"/>
        <w:bottom w:val="none" w:sz="0" w:space="0" w:color="auto"/>
        <w:right w:val="none" w:sz="0" w:space="0" w:color="auto"/>
      </w:divBdr>
    </w:div>
    <w:div w:id="718364086">
      <w:bodyDiv w:val="1"/>
      <w:marLeft w:val="0"/>
      <w:marRight w:val="0"/>
      <w:marTop w:val="0"/>
      <w:marBottom w:val="0"/>
      <w:divBdr>
        <w:top w:val="none" w:sz="0" w:space="0" w:color="auto"/>
        <w:left w:val="none" w:sz="0" w:space="0" w:color="auto"/>
        <w:bottom w:val="none" w:sz="0" w:space="0" w:color="auto"/>
        <w:right w:val="none" w:sz="0" w:space="0" w:color="auto"/>
      </w:divBdr>
    </w:div>
    <w:div w:id="777608079">
      <w:marLeft w:val="0"/>
      <w:marRight w:val="0"/>
      <w:marTop w:val="0"/>
      <w:marBottom w:val="0"/>
      <w:divBdr>
        <w:top w:val="none" w:sz="0" w:space="0" w:color="auto"/>
        <w:left w:val="none" w:sz="0" w:space="0" w:color="auto"/>
        <w:bottom w:val="none" w:sz="0" w:space="0" w:color="auto"/>
        <w:right w:val="none" w:sz="0" w:space="0" w:color="auto"/>
      </w:divBdr>
      <w:divsChild>
        <w:div w:id="1790317847">
          <w:marLeft w:val="0"/>
          <w:marRight w:val="0"/>
          <w:marTop w:val="0"/>
          <w:marBottom w:val="0"/>
          <w:divBdr>
            <w:top w:val="none" w:sz="0" w:space="0" w:color="auto"/>
            <w:left w:val="none" w:sz="0" w:space="0" w:color="auto"/>
            <w:bottom w:val="single" w:sz="6" w:space="4" w:color="B2B2B2"/>
            <w:right w:val="none" w:sz="0" w:space="0" w:color="auto"/>
          </w:divBdr>
          <w:divsChild>
            <w:div w:id="1480655401">
              <w:marLeft w:val="0"/>
              <w:marRight w:val="0"/>
              <w:marTop w:val="0"/>
              <w:marBottom w:val="0"/>
              <w:divBdr>
                <w:top w:val="none" w:sz="0" w:space="0" w:color="auto"/>
                <w:left w:val="none" w:sz="0" w:space="0" w:color="auto"/>
                <w:bottom w:val="none" w:sz="0" w:space="0" w:color="auto"/>
                <w:right w:val="none" w:sz="0" w:space="0" w:color="auto"/>
              </w:divBdr>
              <w:divsChild>
                <w:div w:id="320274931">
                  <w:marLeft w:val="0"/>
                  <w:marRight w:val="0"/>
                  <w:marTop w:val="0"/>
                  <w:marBottom w:val="0"/>
                  <w:divBdr>
                    <w:top w:val="none" w:sz="0" w:space="0" w:color="auto"/>
                    <w:left w:val="none" w:sz="0" w:space="0" w:color="auto"/>
                    <w:bottom w:val="none" w:sz="0" w:space="0" w:color="auto"/>
                    <w:right w:val="none" w:sz="0" w:space="0" w:color="auto"/>
                  </w:divBdr>
                  <w:divsChild>
                    <w:div w:id="978146347">
                      <w:marLeft w:val="0"/>
                      <w:marRight w:val="0"/>
                      <w:marTop w:val="0"/>
                      <w:marBottom w:val="0"/>
                      <w:divBdr>
                        <w:top w:val="none" w:sz="0" w:space="0" w:color="auto"/>
                        <w:left w:val="none" w:sz="0" w:space="0" w:color="auto"/>
                        <w:bottom w:val="none" w:sz="0" w:space="0" w:color="auto"/>
                        <w:right w:val="none" w:sz="0" w:space="0" w:color="auto"/>
                      </w:divBdr>
                      <w:divsChild>
                        <w:div w:id="1092967599">
                          <w:marLeft w:val="0"/>
                          <w:marRight w:val="0"/>
                          <w:marTop w:val="0"/>
                          <w:marBottom w:val="0"/>
                          <w:divBdr>
                            <w:top w:val="none" w:sz="0" w:space="0" w:color="auto"/>
                            <w:left w:val="none" w:sz="0" w:space="0" w:color="auto"/>
                            <w:bottom w:val="none" w:sz="0" w:space="0" w:color="auto"/>
                            <w:right w:val="none" w:sz="0" w:space="0" w:color="auto"/>
                          </w:divBdr>
                          <w:divsChild>
                            <w:div w:id="403374165">
                              <w:marLeft w:val="75"/>
                              <w:marRight w:val="75"/>
                              <w:marTop w:val="75"/>
                              <w:marBottom w:val="75"/>
                              <w:divBdr>
                                <w:top w:val="none" w:sz="0" w:space="0" w:color="auto"/>
                                <w:left w:val="none" w:sz="0" w:space="0" w:color="auto"/>
                                <w:bottom w:val="none" w:sz="0" w:space="0" w:color="auto"/>
                                <w:right w:val="none" w:sz="0" w:space="0" w:color="auto"/>
                              </w:divBdr>
                              <w:divsChild>
                                <w:div w:id="449860054">
                                  <w:marLeft w:val="0"/>
                                  <w:marRight w:val="0"/>
                                  <w:marTop w:val="0"/>
                                  <w:marBottom w:val="0"/>
                                  <w:divBdr>
                                    <w:top w:val="none" w:sz="0" w:space="0" w:color="auto"/>
                                    <w:left w:val="none" w:sz="0" w:space="0" w:color="auto"/>
                                    <w:bottom w:val="none" w:sz="0" w:space="0" w:color="auto"/>
                                    <w:right w:val="none" w:sz="0" w:space="0" w:color="auto"/>
                                  </w:divBdr>
                                  <w:divsChild>
                                    <w:div w:id="1632781491">
                                      <w:marLeft w:val="0"/>
                                      <w:marRight w:val="0"/>
                                      <w:marTop w:val="0"/>
                                      <w:marBottom w:val="0"/>
                                      <w:divBdr>
                                        <w:top w:val="none" w:sz="0" w:space="0" w:color="auto"/>
                                        <w:left w:val="none" w:sz="0" w:space="0" w:color="auto"/>
                                        <w:bottom w:val="none" w:sz="0" w:space="0" w:color="auto"/>
                                        <w:right w:val="none" w:sz="0" w:space="0" w:color="auto"/>
                                      </w:divBdr>
                                      <w:divsChild>
                                        <w:div w:id="342704952">
                                          <w:marLeft w:val="0"/>
                                          <w:marRight w:val="0"/>
                                          <w:marTop w:val="0"/>
                                          <w:marBottom w:val="0"/>
                                          <w:divBdr>
                                            <w:top w:val="none" w:sz="0" w:space="0" w:color="auto"/>
                                            <w:left w:val="none" w:sz="0" w:space="0" w:color="auto"/>
                                            <w:bottom w:val="none" w:sz="0" w:space="0" w:color="auto"/>
                                            <w:right w:val="none" w:sz="0" w:space="0" w:color="auto"/>
                                          </w:divBdr>
                                          <w:divsChild>
                                            <w:div w:id="13934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850156">
      <w:bodyDiv w:val="1"/>
      <w:marLeft w:val="0"/>
      <w:marRight w:val="0"/>
      <w:marTop w:val="0"/>
      <w:marBottom w:val="0"/>
      <w:divBdr>
        <w:top w:val="none" w:sz="0" w:space="0" w:color="auto"/>
        <w:left w:val="none" w:sz="0" w:space="0" w:color="auto"/>
        <w:bottom w:val="none" w:sz="0" w:space="0" w:color="auto"/>
        <w:right w:val="none" w:sz="0" w:space="0" w:color="auto"/>
      </w:divBdr>
      <w:divsChild>
        <w:div w:id="195390796">
          <w:marLeft w:val="1166"/>
          <w:marRight w:val="0"/>
          <w:marTop w:val="115"/>
          <w:marBottom w:val="0"/>
          <w:divBdr>
            <w:top w:val="none" w:sz="0" w:space="0" w:color="auto"/>
            <w:left w:val="none" w:sz="0" w:space="0" w:color="auto"/>
            <w:bottom w:val="none" w:sz="0" w:space="0" w:color="auto"/>
            <w:right w:val="none" w:sz="0" w:space="0" w:color="auto"/>
          </w:divBdr>
        </w:div>
        <w:div w:id="342442563">
          <w:marLeft w:val="1800"/>
          <w:marRight w:val="0"/>
          <w:marTop w:val="96"/>
          <w:marBottom w:val="0"/>
          <w:divBdr>
            <w:top w:val="none" w:sz="0" w:space="0" w:color="auto"/>
            <w:left w:val="none" w:sz="0" w:space="0" w:color="auto"/>
            <w:bottom w:val="none" w:sz="0" w:space="0" w:color="auto"/>
            <w:right w:val="none" w:sz="0" w:space="0" w:color="auto"/>
          </w:divBdr>
        </w:div>
        <w:div w:id="479541419">
          <w:marLeft w:val="1800"/>
          <w:marRight w:val="0"/>
          <w:marTop w:val="96"/>
          <w:marBottom w:val="0"/>
          <w:divBdr>
            <w:top w:val="none" w:sz="0" w:space="0" w:color="auto"/>
            <w:left w:val="none" w:sz="0" w:space="0" w:color="auto"/>
            <w:bottom w:val="none" w:sz="0" w:space="0" w:color="auto"/>
            <w:right w:val="none" w:sz="0" w:space="0" w:color="auto"/>
          </w:divBdr>
        </w:div>
        <w:div w:id="585380117">
          <w:marLeft w:val="1166"/>
          <w:marRight w:val="0"/>
          <w:marTop w:val="115"/>
          <w:marBottom w:val="0"/>
          <w:divBdr>
            <w:top w:val="none" w:sz="0" w:space="0" w:color="auto"/>
            <w:left w:val="none" w:sz="0" w:space="0" w:color="auto"/>
            <w:bottom w:val="none" w:sz="0" w:space="0" w:color="auto"/>
            <w:right w:val="none" w:sz="0" w:space="0" w:color="auto"/>
          </w:divBdr>
        </w:div>
        <w:div w:id="745228806">
          <w:marLeft w:val="1166"/>
          <w:marRight w:val="0"/>
          <w:marTop w:val="115"/>
          <w:marBottom w:val="0"/>
          <w:divBdr>
            <w:top w:val="none" w:sz="0" w:space="0" w:color="auto"/>
            <w:left w:val="none" w:sz="0" w:space="0" w:color="auto"/>
            <w:bottom w:val="none" w:sz="0" w:space="0" w:color="auto"/>
            <w:right w:val="none" w:sz="0" w:space="0" w:color="auto"/>
          </w:divBdr>
        </w:div>
        <w:div w:id="1599948731">
          <w:marLeft w:val="1800"/>
          <w:marRight w:val="0"/>
          <w:marTop w:val="96"/>
          <w:marBottom w:val="0"/>
          <w:divBdr>
            <w:top w:val="none" w:sz="0" w:space="0" w:color="auto"/>
            <w:left w:val="none" w:sz="0" w:space="0" w:color="auto"/>
            <w:bottom w:val="none" w:sz="0" w:space="0" w:color="auto"/>
            <w:right w:val="none" w:sz="0" w:space="0" w:color="auto"/>
          </w:divBdr>
        </w:div>
        <w:div w:id="1727023857">
          <w:marLeft w:val="1800"/>
          <w:marRight w:val="0"/>
          <w:marTop w:val="96"/>
          <w:marBottom w:val="0"/>
          <w:divBdr>
            <w:top w:val="none" w:sz="0" w:space="0" w:color="auto"/>
            <w:left w:val="none" w:sz="0" w:space="0" w:color="auto"/>
            <w:bottom w:val="none" w:sz="0" w:space="0" w:color="auto"/>
            <w:right w:val="none" w:sz="0" w:space="0" w:color="auto"/>
          </w:divBdr>
        </w:div>
        <w:div w:id="2069959345">
          <w:marLeft w:val="1800"/>
          <w:marRight w:val="0"/>
          <w:marTop w:val="96"/>
          <w:marBottom w:val="0"/>
          <w:divBdr>
            <w:top w:val="none" w:sz="0" w:space="0" w:color="auto"/>
            <w:left w:val="none" w:sz="0" w:space="0" w:color="auto"/>
            <w:bottom w:val="none" w:sz="0" w:space="0" w:color="auto"/>
            <w:right w:val="none" w:sz="0" w:space="0" w:color="auto"/>
          </w:divBdr>
        </w:div>
      </w:divsChild>
    </w:div>
    <w:div w:id="893008979">
      <w:bodyDiv w:val="1"/>
      <w:marLeft w:val="0"/>
      <w:marRight w:val="0"/>
      <w:marTop w:val="0"/>
      <w:marBottom w:val="0"/>
      <w:divBdr>
        <w:top w:val="none" w:sz="0" w:space="0" w:color="auto"/>
        <w:left w:val="none" w:sz="0" w:space="0" w:color="auto"/>
        <w:bottom w:val="none" w:sz="0" w:space="0" w:color="auto"/>
        <w:right w:val="none" w:sz="0" w:space="0" w:color="auto"/>
      </w:divBdr>
      <w:divsChild>
        <w:div w:id="633602131">
          <w:marLeft w:val="547"/>
          <w:marRight w:val="0"/>
          <w:marTop w:val="154"/>
          <w:marBottom w:val="0"/>
          <w:divBdr>
            <w:top w:val="none" w:sz="0" w:space="0" w:color="auto"/>
            <w:left w:val="none" w:sz="0" w:space="0" w:color="auto"/>
            <w:bottom w:val="none" w:sz="0" w:space="0" w:color="auto"/>
            <w:right w:val="none" w:sz="0" w:space="0" w:color="auto"/>
          </w:divBdr>
        </w:div>
        <w:div w:id="1701129934">
          <w:marLeft w:val="1166"/>
          <w:marRight w:val="0"/>
          <w:marTop w:val="134"/>
          <w:marBottom w:val="0"/>
          <w:divBdr>
            <w:top w:val="none" w:sz="0" w:space="0" w:color="auto"/>
            <w:left w:val="none" w:sz="0" w:space="0" w:color="auto"/>
            <w:bottom w:val="none" w:sz="0" w:space="0" w:color="auto"/>
            <w:right w:val="none" w:sz="0" w:space="0" w:color="auto"/>
          </w:divBdr>
        </w:div>
      </w:divsChild>
    </w:div>
    <w:div w:id="1101146949">
      <w:marLeft w:val="0"/>
      <w:marRight w:val="0"/>
      <w:marTop w:val="0"/>
      <w:marBottom w:val="0"/>
      <w:divBdr>
        <w:top w:val="none" w:sz="0" w:space="0" w:color="auto"/>
        <w:left w:val="none" w:sz="0" w:space="0" w:color="auto"/>
        <w:bottom w:val="none" w:sz="0" w:space="0" w:color="auto"/>
        <w:right w:val="none" w:sz="0" w:space="0" w:color="auto"/>
      </w:divBdr>
      <w:divsChild>
        <w:div w:id="1194418888">
          <w:marLeft w:val="0"/>
          <w:marRight w:val="0"/>
          <w:marTop w:val="0"/>
          <w:marBottom w:val="0"/>
          <w:divBdr>
            <w:top w:val="none" w:sz="0" w:space="0" w:color="auto"/>
            <w:left w:val="none" w:sz="0" w:space="0" w:color="auto"/>
            <w:bottom w:val="single" w:sz="6" w:space="4" w:color="B2B2B2"/>
            <w:right w:val="none" w:sz="0" w:space="0" w:color="auto"/>
          </w:divBdr>
          <w:divsChild>
            <w:div w:id="250042673">
              <w:marLeft w:val="0"/>
              <w:marRight w:val="0"/>
              <w:marTop w:val="0"/>
              <w:marBottom w:val="0"/>
              <w:divBdr>
                <w:top w:val="none" w:sz="0" w:space="0" w:color="auto"/>
                <w:left w:val="none" w:sz="0" w:space="0" w:color="auto"/>
                <w:bottom w:val="none" w:sz="0" w:space="0" w:color="auto"/>
                <w:right w:val="none" w:sz="0" w:space="0" w:color="auto"/>
              </w:divBdr>
              <w:divsChild>
                <w:div w:id="118761375">
                  <w:marLeft w:val="0"/>
                  <w:marRight w:val="0"/>
                  <w:marTop w:val="0"/>
                  <w:marBottom w:val="0"/>
                  <w:divBdr>
                    <w:top w:val="none" w:sz="0" w:space="0" w:color="auto"/>
                    <w:left w:val="none" w:sz="0" w:space="0" w:color="auto"/>
                    <w:bottom w:val="none" w:sz="0" w:space="0" w:color="auto"/>
                    <w:right w:val="none" w:sz="0" w:space="0" w:color="auto"/>
                  </w:divBdr>
                  <w:divsChild>
                    <w:div w:id="1601915332">
                      <w:marLeft w:val="0"/>
                      <w:marRight w:val="0"/>
                      <w:marTop w:val="0"/>
                      <w:marBottom w:val="0"/>
                      <w:divBdr>
                        <w:top w:val="none" w:sz="0" w:space="0" w:color="auto"/>
                        <w:left w:val="none" w:sz="0" w:space="0" w:color="auto"/>
                        <w:bottom w:val="none" w:sz="0" w:space="0" w:color="auto"/>
                        <w:right w:val="none" w:sz="0" w:space="0" w:color="auto"/>
                      </w:divBdr>
                      <w:divsChild>
                        <w:div w:id="281115686">
                          <w:marLeft w:val="0"/>
                          <w:marRight w:val="0"/>
                          <w:marTop w:val="0"/>
                          <w:marBottom w:val="0"/>
                          <w:divBdr>
                            <w:top w:val="none" w:sz="0" w:space="0" w:color="auto"/>
                            <w:left w:val="none" w:sz="0" w:space="0" w:color="auto"/>
                            <w:bottom w:val="none" w:sz="0" w:space="0" w:color="auto"/>
                            <w:right w:val="none" w:sz="0" w:space="0" w:color="auto"/>
                          </w:divBdr>
                          <w:divsChild>
                            <w:div w:id="810488440">
                              <w:marLeft w:val="75"/>
                              <w:marRight w:val="75"/>
                              <w:marTop w:val="75"/>
                              <w:marBottom w:val="75"/>
                              <w:divBdr>
                                <w:top w:val="none" w:sz="0" w:space="0" w:color="auto"/>
                                <w:left w:val="none" w:sz="0" w:space="0" w:color="auto"/>
                                <w:bottom w:val="none" w:sz="0" w:space="0" w:color="auto"/>
                                <w:right w:val="none" w:sz="0" w:space="0" w:color="auto"/>
                              </w:divBdr>
                              <w:divsChild>
                                <w:div w:id="1139615591">
                                  <w:marLeft w:val="0"/>
                                  <w:marRight w:val="0"/>
                                  <w:marTop w:val="0"/>
                                  <w:marBottom w:val="0"/>
                                  <w:divBdr>
                                    <w:top w:val="none" w:sz="0" w:space="0" w:color="auto"/>
                                    <w:left w:val="none" w:sz="0" w:space="0" w:color="auto"/>
                                    <w:bottom w:val="none" w:sz="0" w:space="0" w:color="auto"/>
                                    <w:right w:val="none" w:sz="0" w:space="0" w:color="auto"/>
                                  </w:divBdr>
                                  <w:divsChild>
                                    <w:div w:id="1018703877">
                                      <w:marLeft w:val="0"/>
                                      <w:marRight w:val="0"/>
                                      <w:marTop w:val="0"/>
                                      <w:marBottom w:val="0"/>
                                      <w:divBdr>
                                        <w:top w:val="none" w:sz="0" w:space="0" w:color="auto"/>
                                        <w:left w:val="none" w:sz="0" w:space="0" w:color="auto"/>
                                        <w:bottom w:val="none" w:sz="0" w:space="0" w:color="auto"/>
                                        <w:right w:val="none" w:sz="0" w:space="0" w:color="auto"/>
                                      </w:divBdr>
                                      <w:divsChild>
                                        <w:div w:id="921184824">
                                          <w:marLeft w:val="0"/>
                                          <w:marRight w:val="0"/>
                                          <w:marTop w:val="0"/>
                                          <w:marBottom w:val="0"/>
                                          <w:divBdr>
                                            <w:top w:val="none" w:sz="0" w:space="0" w:color="auto"/>
                                            <w:left w:val="none" w:sz="0" w:space="0" w:color="auto"/>
                                            <w:bottom w:val="none" w:sz="0" w:space="0" w:color="auto"/>
                                            <w:right w:val="none" w:sz="0" w:space="0" w:color="auto"/>
                                          </w:divBdr>
                                          <w:divsChild>
                                            <w:div w:id="10831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731018">
      <w:bodyDiv w:val="1"/>
      <w:marLeft w:val="0"/>
      <w:marRight w:val="0"/>
      <w:marTop w:val="0"/>
      <w:marBottom w:val="0"/>
      <w:divBdr>
        <w:top w:val="none" w:sz="0" w:space="0" w:color="auto"/>
        <w:left w:val="none" w:sz="0" w:space="0" w:color="auto"/>
        <w:bottom w:val="none" w:sz="0" w:space="0" w:color="auto"/>
        <w:right w:val="none" w:sz="0" w:space="0" w:color="auto"/>
      </w:divBdr>
      <w:divsChild>
        <w:div w:id="209462513">
          <w:marLeft w:val="1166"/>
          <w:marRight w:val="0"/>
          <w:marTop w:val="96"/>
          <w:marBottom w:val="0"/>
          <w:divBdr>
            <w:top w:val="none" w:sz="0" w:space="0" w:color="auto"/>
            <w:left w:val="none" w:sz="0" w:space="0" w:color="auto"/>
            <w:bottom w:val="none" w:sz="0" w:space="0" w:color="auto"/>
            <w:right w:val="none" w:sz="0" w:space="0" w:color="auto"/>
          </w:divBdr>
        </w:div>
        <w:div w:id="886575819">
          <w:marLeft w:val="547"/>
          <w:marRight w:val="0"/>
          <w:marTop w:val="106"/>
          <w:marBottom w:val="0"/>
          <w:divBdr>
            <w:top w:val="none" w:sz="0" w:space="0" w:color="auto"/>
            <w:left w:val="none" w:sz="0" w:space="0" w:color="auto"/>
            <w:bottom w:val="none" w:sz="0" w:space="0" w:color="auto"/>
            <w:right w:val="none" w:sz="0" w:space="0" w:color="auto"/>
          </w:divBdr>
        </w:div>
        <w:div w:id="1039933972">
          <w:marLeft w:val="1166"/>
          <w:marRight w:val="0"/>
          <w:marTop w:val="96"/>
          <w:marBottom w:val="0"/>
          <w:divBdr>
            <w:top w:val="none" w:sz="0" w:space="0" w:color="auto"/>
            <w:left w:val="none" w:sz="0" w:space="0" w:color="auto"/>
            <w:bottom w:val="none" w:sz="0" w:space="0" w:color="auto"/>
            <w:right w:val="none" w:sz="0" w:space="0" w:color="auto"/>
          </w:divBdr>
        </w:div>
        <w:div w:id="1238247710">
          <w:marLeft w:val="1166"/>
          <w:marRight w:val="0"/>
          <w:marTop w:val="96"/>
          <w:marBottom w:val="0"/>
          <w:divBdr>
            <w:top w:val="none" w:sz="0" w:space="0" w:color="auto"/>
            <w:left w:val="none" w:sz="0" w:space="0" w:color="auto"/>
            <w:bottom w:val="none" w:sz="0" w:space="0" w:color="auto"/>
            <w:right w:val="none" w:sz="0" w:space="0" w:color="auto"/>
          </w:divBdr>
        </w:div>
        <w:div w:id="1610970252">
          <w:marLeft w:val="1166"/>
          <w:marRight w:val="0"/>
          <w:marTop w:val="96"/>
          <w:marBottom w:val="0"/>
          <w:divBdr>
            <w:top w:val="none" w:sz="0" w:space="0" w:color="auto"/>
            <w:left w:val="none" w:sz="0" w:space="0" w:color="auto"/>
            <w:bottom w:val="none" w:sz="0" w:space="0" w:color="auto"/>
            <w:right w:val="none" w:sz="0" w:space="0" w:color="auto"/>
          </w:divBdr>
        </w:div>
        <w:div w:id="1816339277">
          <w:marLeft w:val="1166"/>
          <w:marRight w:val="0"/>
          <w:marTop w:val="96"/>
          <w:marBottom w:val="0"/>
          <w:divBdr>
            <w:top w:val="none" w:sz="0" w:space="0" w:color="auto"/>
            <w:left w:val="none" w:sz="0" w:space="0" w:color="auto"/>
            <w:bottom w:val="none" w:sz="0" w:space="0" w:color="auto"/>
            <w:right w:val="none" w:sz="0" w:space="0" w:color="auto"/>
          </w:divBdr>
        </w:div>
      </w:divsChild>
    </w:div>
    <w:div w:id="1210339011">
      <w:bodyDiv w:val="1"/>
      <w:marLeft w:val="0"/>
      <w:marRight w:val="0"/>
      <w:marTop w:val="0"/>
      <w:marBottom w:val="0"/>
      <w:divBdr>
        <w:top w:val="none" w:sz="0" w:space="0" w:color="auto"/>
        <w:left w:val="none" w:sz="0" w:space="0" w:color="auto"/>
        <w:bottom w:val="none" w:sz="0" w:space="0" w:color="auto"/>
        <w:right w:val="none" w:sz="0" w:space="0" w:color="auto"/>
      </w:divBdr>
      <w:divsChild>
        <w:div w:id="171188067">
          <w:marLeft w:val="1166"/>
          <w:marRight w:val="0"/>
          <w:marTop w:val="115"/>
          <w:marBottom w:val="0"/>
          <w:divBdr>
            <w:top w:val="none" w:sz="0" w:space="0" w:color="auto"/>
            <w:left w:val="none" w:sz="0" w:space="0" w:color="auto"/>
            <w:bottom w:val="none" w:sz="0" w:space="0" w:color="auto"/>
            <w:right w:val="none" w:sz="0" w:space="0" w:color="auto"/>
          </w:divBdr>
        </w:div>
        <w:div w:id="726563807">
          <w:marLeft w:val="1166"/>
          <w:marRight w:val="0"/>
          <w:marTop w:val="115"/>
          <w:marBottom w:val="0"/>
          <w:divBdr>
            <w:top w:val="none" w:sz="0" w:space="0" w:color="auto"/>
            <w:left w:val="none" w:sz="0" w:space="0" w:color="auto"/>
            <w:bottom w:val="none" w:sz="0" w:space="0" w:color="auto"/>
            <w:right w:val="none" w:sz="0" w:space="0" w:color="auto"/>
          </w:divBdr>
        </w:div>
        <w:div w:id="1402292331">
          <w:marLeft w:val="1166"/>
          <w:marRight w:val="0"/>
          <w:marTop w:val="115"/>
          <w:marBottom w:val="0"/>
          <w:divBdr>
            <w:top w:val="none" w:sz="0" w:space="0" w:color="auto"/>
            <w:left w:val="none" w:sz="0" w:space="0" w:color="auto"/>
            <w:bottom w:val="none" w:sz="0" w:space="0" w:color="auto"/>
            <w:right w:val="none" w:sz="0" w:space="0" w:color="auto"/>
          </w:divBdr>
        </w:div>
        <w:div w:id="1545674844">
          <w:marLeft w:val="547"/>
          <w:marRight w:val="0"/>
          <w:marTop w:val="134"/>
          <w:marBottom w:val="0"/>
          <w:divBdr>
            <w:top w:val="none" w:sz="0" w:space="0" w:color="auto"/>
            <w:left w:val="none" w:sz="0" w:space="0" w:color="auto"/>
            <w:bottom w:val="none" w:sz="0" w:space="0" w:color="auto"/>
            <w:right w:val="none" w:sz="0" w:space="0" w:color="auto"/>
          </w:divBdr>
        </w:div>
      </w:divsChild>
    </w:div>
    <w:div w:id="1506673565">
      <w:marLeft w:val="0"/>
      <w:marRight w:val="0"/>
      <w:marTop w:val="0"/>
      <w:marBottom w:val="0"/>
      <w:divBdr>
        <w:top w:val="none" w:sz="0" w:space="0" w:color="auto"/>
        <w:left w:val="none" w:sz="0" w:space="0" w:color="auto"/>
        <w:bottom w:val="none" w:sz="0" w:space="0" w:color="auto"/>
        <w:right w:val="none" w:sz="0" w:space="0" w:color="auto"/>
      </w:divBdr>
      <w:divsChild>
        <w:div w:id="1233198491">
          <w:marLeft w:val="0"/>
          <w:marRight w:val="0"/>
          <w:marTop w:val="0"/>
          <w:marBottom w:val="0"/>
          <w:divBdr>
            <w:top w:val="none" w:sz="0" w:space="0" w:color="auto"/>
            <w:left w:val="none" w:sz="0" w:space="0" w:color="auto"/>
            <w:bottom w:val="single" w:sz="6" w:space="4" w:color="B2B2B2"/>
            <w:right w:val="none" w:sz="0" w:space="0" w:color="auto"/>
          </w:divBdr>
          <w:divsChild>
            <w:div w:id="496069718">
              <w:marLeft w:val="0"/>
              <w:marRight w:val="0"/>
              <w:marTop w:val="0"/>
              <w:marBottom w:val="0"/>
              <w:divBdr>
                <w:top w:val="none" w:sz="0" w:space="0" w:color="auto"/>
                <w:left w:val="none" w:sz="0" w:space="0" w:color="auto"/>
                <w:bottom w:val="none" w:sz="0" w:space="0" w:color="auto"/>
                <w:right w:val="none" w:sz="0" w:space="0" w:color="auto"/>
              </w:divBdr>
              <w:divsChild>
                <w:div w:id="68776048">
                  <w:marLeft w:val="0"/>
                  <w:marRight w:val="0"/>
                  <w:marTop w:val="0"/>
                  <w:marBottom w:val="0"/>
                  <w:divBdr>
                    <w:top w:val="none" w:sz="0" w:space="0" w:color="auto"/>
                    <w:left w:val="none" w:sz="0" w:space="0" w:color="auto"/>
                    <w:bottom w:val="none" w:sz="0" w:space="0" w:color="auto"/>
                    <w:right w:val="none" w:sz="0" w:space="0" w:color="auto"/>
                  </w:divBdr>
                  <w:divsChild>
                    <w:div w:id="97606269">
                      <w:marLeft w:val="0"/>
                      <w:marRight w:val="0"/>
                      <w:marTop w:val="0"/>
                      <w:marBottom w:val="0"/>
                      <w:divBdr>
                        <w:top w:val="none" w:sz="0" w:space="0" w:color="auto"/>
                        <w:left w:val="none" w:sz="0" w:space="0" w:color="auto"/>
                        <w:bottom w:val="none" w:sz="0" w:space="0" w:color="auto"/>
                        <w:right w:val="none" w:sz="0" w:space="0" w:color="auto"/>
                      </w:divBdr>
                      <w:divsChild>
                        <w:div w:id="1956910211">
                          <w:marLeft w:val="0"/>
                          <w:marRight w:val="0"/>
                          <w:marTop w:val="0"/>
                          <w:marBottom w:val="0"/>
                          <w:divBdr>
                            <w:top w:val="none" w:sz="0" w:space="0" w:color="auto"/>
                            <w:left w:val="none" w:sz="0" w:space="0" w:color="auto"/>
                            <w:bottom w:val="none" w:sz="0" w:space="0" w:color="auto"/>
                            <w:right w:val="none" w:sz="0" w:space="0" w:color="auto"/>
                          </w:divBdr>
                          <w:divsChild>
                            <w:div w:id="950480625">
                              <w:marLeft w:val="75"/>
                              <w:marRight w:val="75"/>
                              <w:marTop w:val="75"/>
                              <w:marBottom w:val="75"/>
                              <w:divBdr>
                                <w:top w:val="none" w:sz="0" w:space="0" w:color="auto"/>
                                <w:left w:val="none" w:sz="0" w:space="0" w:color="auto"/>
                                <w:bottom w:val="none" w:sz="0" w:space="0" w:color="auto"/>
                                <w:right w:val="none" w:sz="0" w:space="0" w:color="auto"/>
                              </w:divBdr>
                              <w:divsChild>
                                <w:div w:id="22679257">
                                  <w:marLeft w:val="0"/>
                                  <w:marRight w:val="0"/>
                                  <w:marTop w:val="0"/>
                                  <w:marBottom w:val="0"/>
                                  <w:divBdr>
                                    <w:top w:val="none" w:sz="0" w:space="0" w:color="auto"/>
                                    <w:left w:val="none" w:sz="0" w:space="0" w:color="auto"/>
                                    <w:bottom w:val="none" w:sz="0" w:space="0" w:color="auto"/>
                                    <w:right w:val="none" w:sz="0" w:space="0" w:color="auto"/>
                                  </w:divBdr>
                                  <w:divsChild>
                                    <w:div w:id="484006054">
                                      <w:marLeft w:val="0"/>
                                      <w:marRight w:val="0"/>
                                      <w:marTop w:val="0"/>
                                      <w:marBottom w:val="0"/>
                                      <w:divBdr>
                                        <w:top w:val="none" w:sz="0" w:space="0" w:color="auto"/>
                                        <w:left w:val="none" w:sz="0" w:space="0" w:color="auto"/>
                                        <w:bottom w:val="none" w:sz="0" w:space="0" w:color="auto"/>
                                        <w:right w:val="none" w:sz="0" w:space="0" w:color="auto"/>
                                      </w:divBdr>
                                      <w:divsChild>
                                        <w:div w:id="562521509">
                                          <w:marLeft w:val="0"/>
                                          <w:marRight w:val="0"/>
                                          <w:marTop w:val="0"/>
                                          <w:marBottom w:val="0"/>
                                          <w:divBdr>
                                            <w:top w:val="none" w:sz="0" w:space="0" w:color="auto"/>
                                            <w:left w:val="none" w:sz="0" w:space="0" w:color="auto"/>
                                            <w:bottom w:val="none" w:sz="0" w:space="0" w:color="auto"/>
                                            <w:right w:val="none" w:sz="0" w:space="0" w:color="auto"/>
                                          </w:divBdr>
                                          <w:divsChild>
                                            <w:div w:id="16748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191095">
      <w:bodyDiv w:val="1"/>
      <w:marLeft w:val="0"/>
      <w:marRight w:val="0"/>
      <w:marTop w:val="0"/>
      <w:marBottom w:val="0"/>
      <w:divBdr>
        <w:top w:val="none" w:sz="0" w:space="0" w:color="auto"/>
        <w:left w:val="none" w:sz="0" w:space="0" w:color="auto"/>
        <w:bottom w:val="none" w:sz="0" w:space="0" w:color="auto"/>
        <w:right w:val="none" w:sz="0" w:space="0" w:color="auto"/>
      </w:divBdr>
      <w:divsChild>
        <w:div w:id="736242680">
          <w:marLeft w:val="547"/>
          <w:marRight w:val="0"/>
          <w:marTop w:val="144"/>
          <w:marBottom w:val="0"/>
          <w:divBdr>
            <w:top w:val="none" w:sz="0" w:space="0" w:color="auto"/>
            <w:left w:val="none" w:sz="0" w:space="0" w:color="auto"/>
            <w:bottom w:val="none" w:sz="0" w:space="0" w:color="auto"/>
            <w:right w:val="none" w:sz="0" w:space="0" w:color="auto"/>
          </w:divBdr>
        </w:div>
        <w:div w:id="989796435">
          <w:marLeft w:val="547"/>
          <w:marRight w:val="0"/>
          <w:marTop w:val="144"/>
          <w:marBottom w:val="0"/>
          <w:divBdr>
            <w:top w:val="none" w:sz="0" w:space="0" w:color="auto"/>
            <w:left w:val="none" w:sz="0" w:space="0" w:color="auto"/>
            <w:bottom w:val="none" w:sz="0" w:space="0" w:color="auto"/>
            <w:right w:val="none" w:sz="0" w:space="0" w:color="auto"/>
          </w:divBdr>
        </w:div>
        <w:div w:id="1123622288">
          <w:marLeft w:val="547"/>
          <w:marRight w:val="0"/>
          <w:marTop w:val="144"/>
          <w:marBottom w:val="0"/>
          <w:divBdr>
            <w:top w:val="none" w:sz="0" w:space="0" w:color="auto"/>
            <w:left w:val="none" w:sz="0" w:space="0" w:color="auto"/>
            <w:bottom w:val="none" w:sz="0" w:space="0" w:color="auto"/>
            <w:right w:val="none" w:sz="0" w:space="0" w:color="auto"/>
          </w:divBdr>
        </w:div>
      </w:divsChild>
    </w:div>
    <w:div w:id="1570574053">
      <w:bodyDiv w:val="1"/>
      <w:marLeft w:val="0"/>
      <w:marRight w:val="0"/>
      <w:marTop w:val="0"/>
      <w:marBottom w:val="0"/>
      <w:divBdr>
        <w:top w:val="none" w:sz="0" w:space="0" w:color="auto"/>
        <w:left w:val="none" w:sz="0" w:space="0" w:color="auto"/>
        <w:bottom w:val="none" w:sz="0" w:space="0" w:color="auto"/>
        <w:right w:val="none" w:sz="0" w:space="0" w:color="auto"/>
      </w:divBdr>
    </w:div>
    <w:div w:id="1711764790">
      <w:bodyDiv w:val="1"/>
      <w:marLeft w:val="0"/>
      <w:marRight w:val="0"/>
      <w:marTop w:val="0"/>
      <w:marBottom w:val="0"/>
      <w:divBdr>
        <w:top w:val="none" w:sz="0" w:space="0" w:color="auto"/>
        <w:left w:val="none" w:sz="0" w:space="0" w:color="auto"/>
        <w:bottom w:val="none" w:sz="0" w:space="0" w:color="auto"/>
        <w:right w:val="none" w:sz="0" w:space="0" w:color="auto"/>
      </w:divBdr>
      <w:divsChild>
        <w:div w:id="882597974">
          <w:marLeft w:val="0"/>
          <w:marRight w:val="0"/>
          <w:marTop w:val="0"/>
          <w:marBottom w:val="0"/>
          <w:divBdr>
            <w:top w:val="single" w:sz="8" w:space="1" w:color="auto"/>
            <w:left w:val="single" w:sz="8" w:space="4" w:color="auto"/>
            <w:bottom w:val="single" w:sz="8" w:space="1" w:color="auto"/>
            <w:right w:val="single" w:sz="8" w:space="4" w:color="auto"/>
          </w:divBdr>
        </w:div>
      </w:divsChild>
    </w:div>
    <w:div w:id="1816019648">
      <w:bodyDiv w:val="1"/>
      <w:marLeft w:val="0"/>
      <w:marRight w:val="0"/>
      <w:marTop w:val="0"/>
      <w:marBottom w:val="0"/>
      <w:divBdr>
        <w:top w:val="none" w:sz="0" w:space="0" w:color="auto"/>
        <w:left w:val="none" w:sz="0" w:space="0" w:color="auto"/>
        <w:bottom w:val="none" w:sz="0" w:space="0" w:color="auto"/>
        <w:right w:val="none" w:sz="0" w:space="0" w:color="auto"/>
      </w:divBdr>
      <w:divsChild>
        <w:div w:id="1201432426">
          <w:marLeft w:val="547"/>
          <w:marRight w:val="0"/>
          <w:marTop w:val="154"/>
          <w:marBottom w:val="0"/>
          <w:divBdr>
            <w:top w:val="none" w:sz="0" w:space="0" w:color="auto"/>
            <w:left w:val="none" w:sz="0" w:space="0" w:color="auto"/>
            <w:bottom w:val="none" w:sz="0" w:space="0" w:color="auto"/>
            <w:right w:val="none" w:sz="0" w:space="0" w:color="auto"/>
          </w:divBdr>
        </w:div>
        <w:div w:id="2097818973">
          <w:marLeft w:val="1166"/>
          <w:marRight w:val="0"/>
          <w:marTop w:val="134"/>
          <w:marBottom w:val="0"/>
          <w:divBdr>
            <w:top w:val="none" w:sz="0" w:space="0" w:color="auto"/>
            <w:left w:val="none" w:sz="0" w:space="0" w:color="auto"/>
            <w:bottom w:val="none" w:sz="0" w:space="0" w:color="auto"/>
            <w:right w:val="none" w:sz="0" w:space="0" w:color="auto"/>
          </w:divBdr>
        </w:div>
      </w:divsChild>
    </w:div>
    <w:div w:id="1883128789">
      <w:marLeft w:val="0"/>
      <w:marRight w:val="0"/>
      <w:marTop w:val="0"/>
      <w:marBottom w:val="0"/>
      <w:divBdr>
        <w:top w:val="none" w:sz="0" w:space="0" w:color="auto"/>
        <w:left w:val="none" w:sz="0" w:space="0" w:color="auto"/>
        <w:bottom w:val="none" w:sz="0" w:space="0" w:color="auto"/>
        <w:right w:val="none" w:sz="0" w:space="0" w:color="auto"/>
      </w:divBdr>
      <w:divsChild>
        <w:div w:id="805388936">
          <w:marLeft w:val="0"/>
          <w:marRight w:val="0"/>
          <w:marTop w:val="0"/>
          <w:marBottom w:val="0"/>
          <w:divBdr>
            <w:top w:val="none" w:sz="0" w:space="0" w:color="auto"/>
            <w:left w:val="none" w:sz="0" w:space="0" w:color="auto"/>
            <w:bottom w:val="single" w:sz="6" w:space="4" w:color="B2B2B2"/>
            <w:right w:val="none" w:sz="0" w:space="0" w:color="auto"/>
          </w:divBdr>
          <w:divsChild>
            <w:div w:id="1922176296">
              <w:marLeft w:val="0"/>
              <w:marRight w:val="0"/>
              <w:marTop w:val="0"/>
              <w:marBottom w:val="0"/>
              <w:divBdr>
                <w:top w:val="none" w:sz="0" w:space="0" w:color="auto"/>
                <w:left w:val="none" w:sz="0" w:space="0" w:color="auto"/>
                <w:bottom w:val="none" w:sz="0" w:space="0" w:color="auto"/>
                <w:right w:val="none" w:sz="0" w:space="0" w:color="auto"/>
              </w:divBdr>
              <w:divsChild>
                <w:div w:id="2072381577">
                  <w:marLeft w:val="0"/>
                  <w:marRight w:val="0"/>
                  <w:marTop w:val="0"/>
                  <w:marBottom w:val="0"/>
                  <w:divBdr>
                    <w:top w:val="none" w:sz="0" w:space="0" w:color="auto"/>
                    <w:left w:val="none" w:sz="0" w:space="0" w:color="auto"/>
                    <w:bottom w:val="none" w:sz="0" w:space="0" w:color="auto"/>
                    <w:right w:val="none" w:sz="0" w:space="0" w:color="auto"/>
                  </w:divBdr>
                  <w:divsChild>
                    <w:div w:id="833953957">
                      <w:marLeft w:val="0"/>
                      <w:marRight w:val="0"/>
                      <w:marTop w:val="0"/>
                      <w:marBottom w:val="0"/>
                      <w:divBdr>
                        <w:top w:val="none" w:sz="0" w:space="0" w:color="auto"/>
                        <w:left w:val="none" w:sz="0" w:space="0" w:color="auto"/>
                        <w:bottom w:val="none" w:sz="0" w:space="0" w:color="auto"/>
                        <w:right w:val="none" w:sz="0" w:space="0" w:color="auto"/>
                      </w:divBdr>
                      <w:divsChild>
                        <w:div w:id="2012173616">
                          <w:marLeft w:val="0"/>
                          <w:marRight w:val="0"/>
                          <w:marTop w:val="0"/>
                          <w:marBottom w:val="0"/>
                          <w:divBdr>
                            <w:top w:val="none" w:sz="0" w:space="0" w:color="auto"/>
                            <w:left w:val="none" w:sz="0" w:space="0" w:color="auto"/>
                            <w:bottom w:val="none" w:sz="0" w:space="0" w:color="auto"/>
                            <w:right w:val="none" w:sz="0" w:space="0" w:color="auto"/>
                          </w:divBdr>
                          <w:divsChild>
                            <w:div w:id="97065368">
                              <w:marLeft w:val="75"/>
                              <w:marRight w:val="75"/>
                              <w:marTop w:val="75"/>
                              <w:marBottom w:val="75"/>
                              <w:divBdr>
                                <w:top w:val="none" w:sz="0" w:space="0" w:color="auto"/>
                                <w:left w:val="none" w:sz="0" w:space="0" w:color="auto"/>
                                <w:bottom w:val="none" w:sz="0" w:space="0" w:color="auto"/>
                                <w:right w:val="none" w:sz="0" w:space="0" w:color="auto"/>
                              </w:divBdr>
                              <w:divsChild>
                                <w:div w:id="881287572">
                                  <w:marLeft w:val="0"/>
                                  <w:marRight w:val="0"/>
                                  <w:marTop w:val="0"/>
                                  <w:marBottom w:val="75"/>
                                  <w:divBdr>
                                    <w:top w:val="none" w:sz="0" w:space="0" w:color="auto"/>
                                    <w:left w:val="none" w:sz="0" w:space="0" w:color="auto"/>
                                    <w:bottom w:val="none" w:sz="0" w:space="0" w:color="auto"/>
                                    <w:right w:val="none" w:sz="0" w:space="0" w:color="auto"/>
                                  </w:divBdr>
                                  <w:divsChild>
                                    <w:div w:id="984819996">
                                      <w:marLeft w:val="0"/>
                                      <w:marRight w:val="0"/>
                                      <w:marTop w:val="0"/>
                                      <w:marBottom w:val="0"/>
                                      <w:divBdr>
                                        <w:top w:val="none" w:sz="0" w:space="0" w:color="auto"/>
                                        <w:left w:val="none" w:sz="0" w:space="0" w:color="auto"/>
                                        <w:bottom w:val="none" w:sz="0" w:space="0" w:color="auto"/>
                                        <w:right w:val="none" w:sz="0" w:space="0" w:color="auto"/>
                                      </w:divBdr>
                                      <w:divsChild>
                                        <w:div w:id="1880319628">
                                          <w:marLeft w:val="0"/>
                                          <w:marRight w:val="0"/>
                                          <w:marTop w:val="0"/>
                                          <w:marBottom w:val="0"/>
                                          <w:divBdr>
                                            <w:top w:val="none" w:sz="0" w:space="0" w:color="auto"/>
                                            <w:left w:val="none" w:sz="0" w:space="0" w:color="auto"/>
                                            <w:bottom w:val="none" w:sz="0" w:space="0" w:color="auto"/>
                                            <w:right w:val="none" w:sz="0" w:space="0" w:color="auto"/>
                                          </w:divBdr>
                                          <w:divsChild>
                                            <w:div w:id="10052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191105">
      <w:marLeft w:val="0"/>
      <w:marRight w:val="0"/>
      <w:marTop w:val="0"/>
      <w:marBottom w:val="0"/>
      <w:divBdr>
        <w:top w:val="none" w:sz="0" w:space="0" w:color="auto"/>
        <w:left w:val="none" w:sz="0" w:space="0" w:color="auto"/>
        <w:bottom w:val="none" w:sz="0" w:space="0" w:color="auto"/>
        <w:right w:val="none" w:sz="0" w:space="0" w:color="auto"/>
      </w:divBdr>
      <w:divsChild>
        <w:div w:id="1128233976">
          <w:marLeft w:val="0"/>
          <w:marRight w:val="0"/>
          <w:marTop w:val="0"/>
          <w:marBottom w:val="0"/>
          <w:divBdr>
            <w:top w:val="none" w:sz="0" w:space="0" w:color="auto"/>
            <w:left w:val="none" w:sz="0" w:space="0" w:color="auto"/>
            <w:bottom w:val="single" w:sz="6" w:space="4" w:color="B2B2B2"/>
            <w:right w:val="none" w:sz="0" w:space="0" w:color="auto"/>
          </w:divBdr>
          <w:divsChild>
            <w:div w:id="2141798303">
              <w:marLeft w:val="0"/>
              <w:marRight w:val="0"/>
              <w:marTop w:val="0"/>
              <w:marBottom w:val="0"/>
              <w:divBdr>
                <w:top w:val="none" w:sz="0" w:space="0" w:color="auto"/>
                <w:left w:val="none" w:sz="0" w:space="0" w:color="auto"/>
                <w:bottom w:val="none" w:sz="0" w:space="0" w:color="auto"/>
                <w:right w:val="none" w:sz="0" w:space="0" w:color="auto"/>
              </w:divBdr>
              <w:divsChild>
                <w:div w:id="1673872702">
                  <w:marLeft w:val="0"/>
                  <w:marRight w:val="0"/>
                  <w:marTop w:val="0"/>
                  <w:marBottom w:val="0"/>
                  <w:divBdr>
                    <w:top w:val="none" w:sz="0" w:space="0" w:color="auto"/>
                    <w:left w:val="none" w:sz="0" w:space="0" w:color="auto"/>
                    <w:bottom w:val="none" w:sz="0" w:space="0" w:color="auto"/>
                    <w:right w:val="none" w:sz="0" w:space="0" w:color="auto"/>
                  </w:divBdr>
                  <w:divsChild>
                    <w:div w:id="1044141658">
                      <w:marLeft w:val="0"/>
                      <w:marRight w:val="0"/>
                      <w:marTop w:val="0"/>
                      <w:marBottom w:val="0"/>
                      <w:divBdr>
                        <w:top w:val="none" w:sz="0" w:space="0" w:color="auto"/>
                        <w:left w:val="none" w:sz="0" w:space="0" w:color="auto"/>
                        <w:bottom w:val="none" w:sz="0" w:space="0" w:color="auto"/>
                        <w:right w:val="none" w:sz="0" w:space="0" w:color="auto"/>
                      </w:divBdr>
                      <w:divsChild>
                        <w:div w:id="766271583">
                          <w:marLeft w:val="0"/>
                          <w:marRight w:val="0"/>
                          <w:marTop w:val="0"/>
                          <w:marBottom w:val="0"/>
                          <w:divBdr>
                            <w:top w:val="none" w:sz="0" w:space="0" w:color="auto"/>
                            <w:left w:val="none" w:sz="0" w:space="0" w:color="auto"/>
                            <w:bottom w:val="none" w:sz="0" w:space="0" w:color="auto"/>
                            <w:right w:val="none" w:sz="0" w:space="0" w:color="auto"/>
                          </w:divBdr>
                          <w:divsChild>
                            <w:div w:id="1895239082">
                              <w:marLeft w:val="75"/>
                              <w:marRight w:val="75"/>
                              <w:marTop w:val="75"/>
                              <w:marBottom w:val="75"/>
                              <w:divBdr>
                                <w:top w:val="none" w:sz="0" w:space="0" w:color="auto"/>
                                <w:left w:val="none" w:sz="0" w:space="0" w:color="auto"/>
                                <w:bottom w:val="none" w:sz="0" w:space="0" w:color="auto"/>
                                <w:right w:val="none" w:sz="0" w:space="0" w:color="auto"/>
                              </w:divBdr>
                              <w:divsChild>
                                <w:div w:id="1527715985">
                                  <w:marLeft w:val="0"/>
                                  <w:marRight w:val="0"/>
                                  <w:marTop w:val="0"/>
                                  <w:marBottom w:val="75"/>
                                  <w:divBdr>
                                    <w:top w:val="none" w:sz="0" w:space="0" w:color="auto"/>
                                    <w:left w:val="none" w:sz="0" w:space="0" w:color="auto"/>
                                    <w:bottom w:val="none" w:sz="0" w:space="0" w:color="auto"/>
                                    <w:right w:val="none" w:sz="0" w:space="0" w:color="auto"/>
                                  </w:divBdr>
                                  <w:divsChild>
                                    <w:div w:id="1560481515">
                                      <w:marLeft w:val="0"/>
                                      <w:marRight w:val="0"/>
                                      <w:marTop w:val="0"/>
                                      <w:marBottom w:val="0"/>
                                      <w:divBdr>
                                        <w:top w:val="none" w:sz="0" w:space="0" w:color="auto"/>
                                        <w:left w:val="none" w:sz="0" w:space="0" w:color="auto"/>
                                        <w:bottom w:val="none" w:sz="0" w:space="0" w:color="auto"/>
                                        <w:right w:val="none" w:sz="0" w:space="0" w:color="auto"/>
                                      </w:divBdr>
                                      <w:divsChild>
                                        <w:div w:id="233707461">
                                          <w:marLeft w:val="0"/>
                                          <w:marRight w:val="0"/>
                                          <w:marTop w:val="0"/>
                                          <w:marBottom w:val="0"/>
                                          <w:divBdr>
                                            <w:top w:val="none" w:sz="0" w:space="0" w:color="auto"/>
                                            <w:left w:val="none" w:sz="0" w:space="0" w:color="auto"/>
                                            <w:bottom w:val="none" w:sz="0" w:space="0" w:color="auto"/>
                                            <w:right w:val="none" w:sz="0" w:space="0" w:color="auto"/>
                                          </w:divBdr>
                                          <w:divsChild>
                                            <w:div w:id="1455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633467">
      <w:bodyDiv w:val="1"/>
      <w:marLeft w:val="0"/>
      <w:marRight w:val="0"/>
      <w:marTop w:val="0"/>
      <w:marBottom w:val="0"/>
      <w:divBdr>
        <w:top w:val="none" w:sz="0" w:space="0" w:color="auto"/>
        <w:left w:val="none" w:sz="0" w:space="0" w:color="auto"/>
        <w:bottom w:val="none" w:sz="0" w:space="0" w:color="auto"/>
        <w:right w:val="none" w:sz="0" w:space="0" w:color="auto"/>
      </w:divBdr>
      <w:divsChild>
        <w:div w:id="26225642">
          <w:marLeft w:val="547"/>
          <w:marRight w:val="0"/>
          <w:marTop w:val="106"/>
          <w:marBottom w:val="0"/>
          <w:divBdr>
            <w:top w:val="none" w:sz="0" w:space="0" w:color="auto"/>
            <w:left w:val="none" w:sz="0" w:space="0" w:color="auto"/>
            <w:bottom w:val="none" w:sz="0" w:space="0" w:color="auto"/>
            <w:right w:val="none" w:sz="0" w:space="0" w:color="auto"/>
          </w:divBdr>
        </w:div>
        <w:div w:id="617027751">
          <w:marLeft w:val="547"/>
          <w:marRight w:val="0"/>
          <w:marTop w:val="106"/>
          <w:marBottom w:val="0"/>
          <w:divBdr>
            <w:top w:val="none" w:sz="0" w:space="0" w:color="auto"/>
            <w:left w:val="none" w:sz="0" w:space="0" w:color="auto"/>
            <w:bottom w:val="none" w:sz="0" w:space="0" w:color="auto"/>
            <w:right w:val="none" w:sz="0" w:space="0" w:color="auto"/>
          </w:divBdr>
        </w:div>
        <w:div w:id="810558483">
          <w:marLeft w:val="1166"/>
          <w:marRight w:val="0"/>
          <w:marTop w:val="96"/>
          <w:marBottom w:val="0"/>
          <w:divBdr>
            <w:top w:val="none" w:sz="0" w:space="0" w:color="auto"/>
            <w:left w:val="none" w:sz="0" w:space="0" w:color="auto"/>
            <w:bottom w:val="none" w:sz="0" w:space="0" w:color="auto"/>
            <w:right w:val="none" w:sz="0" w:space="0" w:color="auto"/>
          </w:divBdr>
        </w:div>
        <w:div w:id="1006905549">
          <w:marLeft w:val="547"/>
          <w:marRight w:val="0"/>
          <w:marTop w:val="106"/>
          <w:marBottom w:val="0"/>
          <w:divBdr>
            <w:top w:val="none" w:sz="0" w:space="0" w:color="auto"/>
            <w:left w:val="none" w:sz="0" w:space="0" w:color="auto"/>
            <w:bottom w:val="none" w:sz="0" w:space="0" w:color="auto"/>
            <w:right w:val="none" w:sz="0" w:space="0" w:color="auto"/>
          </w:divBdr>
        </w:div>
        <w:div w:id="1151171337">
          <w:marLeft w:val="547"/>
          <w:marRight w:val="0"/>
          <w:marTop w:val="106"/>
          <w:marBottom w:val="0"/>
          <w:divBdr>
            <w:top w:val="none" w:sz="0" w:space="0" w:color="auto"/>
            <w:left w:val="none" w:sz="0" w:space="0" w:color="auto"/>
            <w:bottom w:val="none" w:sz="0" w:space="0" w:color="auto"/>
            <w:right w:val="none" w:sz="0" w:space="0" w:color="auto"/>
          </w:divBdr>
        </w:div>
        <w:div w:id="1275405690">
          <w:marLeft w:val="547"/>
          <w:marRight w:val="0"/>
          <w:marTop w:val="106"/>
          <w:marBottom w:val="0"/>
          <w:divBdr>
            <w:top w:val="none" w:sz="0" w:space="0" w:color="auto"/>
            <w:left w:val="none" w:sz="0" w:space="0" w:color="auto"/>
            <w:bottom w:val="none" w:sz="0" w:space="0" w:color="auto"/>
            <w:right w:val="none" w:sz="0" w:space="0" w:color="auto"/>
          </w:divBdr>
        </w:div>
        <w:div w:id="1548299891">
          <w:marLeft w:val="547"/>
          <w:marRight w:val="0"/>
          <w:marTop w:val="106"/>
          <w:marBottom w:val="0"/>
          <w:divBdr>
            <w:top w:val="none" w:sz="0" w:space="0" w:color="auto"/>
            <w:left w:val="none" w:sz="0" w:space="0" w:color="auto"/>
            <w:bottom w:val="none" w:sz="0" w:space="0" w:color="auto"/>
            <w:right w:val="none" w:sz="0" w:space="0" w:color="auto"/>
          </w:divBdr>
        </w:div>
        <w:div w:id="2138908589">
          <w:marLeft w:val="1166"/>
          <w:marRight w:val="0"/>
          <w:marTop w:val="96"/>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ander\Desktop\Peer%20Review%202014\Definitions_most%20relevant%20set.docx" TargetMode="External"/><Relationship Id="rId18" Type="http://schemas.openxmlformats.org/officeDocument/2006/relationships/hyperlink" Target="file:///C:\Users\Sander\Desktop\Peer%20Review%202014\Definitions_most%20relevant%20set.doc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file:///C:\Users\Sander\Desktop\Peer%20Review%202014\Definitions_most%20relevant%20set.docx" TargetMode="External"/><Relationship Id="rId17" Type="http://schemas.openxmlformats.org/officeDocument/2006/relationships/hyperlink" Target="file:///C:\Users\Sander\Desktop\Peer%20Review%202014\Definitions_most%20relevant%20set.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Sander\Desktop\Peer%20Review%202014\Definitions_most%20relevant%20set.docx" TargetMode="External"/><Relationship Id="rId20" Type="http://schemas.openxmlformats.org/officeDocument/2006/relationships/hyperlink" Target="file:///C:\Users\Sander\Desktop\Peer%20Review%202014\Definitions_most%20relevant%20set.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nwickabuja@yahoo.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Sander\Desktop\Peer%20Review%202014\Definitions_most%20relevant%20set.docx" TargetMode="External"/><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yperlink" Target="file:///C:\Users\Sander\Desktop\Peer%20Review%202014\Definitions_most%20relevant%20set.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Users\Sander\Desktop\Peer%20Review%202014\Definitions_most%20relevant%20set.docx"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5F2E1-C45C-40B1-BC6C-3B32DBBC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23598</Words>
  <Characters>13451</Characters>
  <Application>Microsoft Office Word</Application>
  <DocSecurity>0</DocSecurity>
  <Lines>112</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TWINNING GRANT CONTRACT</vt:lpstr>
      <vt:lpstr>TWINNING GRANT CONTRACT</vt:lpstr>
    </vt:vector>
  </TitlesOfParts>
  <Company>Statistics Denmark</Company>
  <LinksUpToDate>false</LinksUpToDate>
  <CharactersWithSpaces>36976</CharactersWithSpaces>
  <SharedDoc>false</SharedDoc>
  <HLinks>
    <vt:vector size="66" baseType="variant">
      <vt:variant>
        <vt:i4>4849699</vt:i4>
      </vt:variant>
      <vt:variant>
        <vt:i4>39</vt:i4>
      </vt:variant>
      <vt:variant>
        <vt:i4>0</vt:i4>
      </vt:variant>
      <vt:variant>
        <vt:i4>5</vt:i4>
      </vt:variant>
      <vt:variant>
        <vt:lpwstr>../../../../../Sander/Desktop/Peer Review 2014/Definitions_most relevant set.docx</vt:lpwstr>
      </vt:variant>
      <vt:variant>
        <vt:lpwstr/>
      </vt:variant>
      <vt:variant>
        <vt:i4>4849699</vt:i4>
      </vt:variant>
      <vt:variant>
        <vt:i4>36</vt:i4>
      </vt:variant>
      <vt:variant>
        <vt:i4>0</vt:i4>
      </vt:variant>
      <vt:variant>
        <vt:i4>5</vt:i4>
      </vt:variant>
      <vt:variant>
        <vt:lpwstr>../../../../../Sander/Desktop/Peer Review 2014/Definitions_most relevant set.docx</vt:lpwstr>
      </vt:variant>
      <vt:variant>
        <vt:lpwstr/>
      </vt:variant>
      <vt:variant>
        <vt:i4>4849699</vt:i4>
      </vt:variant>
      <vt:variant>
        <vt:i4>33</vt:i4>
      </vt:variant>
      <vt:variant>
        <vt:i4>0</vt:i4>
      </vt:variant>
      <vt:variant>
        <vt:i4>5</vt:i4>
      </vt:variant>
      <vt:variant>
        <vt:lpwstr>../../../../../Sander/Desktop/Peer Review 2014/Definitions_most relevant set.docx</vt:lpwstr>
      </vt:variant>
      <vt:variant>
        <vt:lpwstr/>
      </vt:variant>
      <vt:variant>
        <vt:i4>4849699</vt:i4>
      </vt:variant>
      <vt:variant>
        <vt:i4>30</vt:i4>
      </vt:variant>
      <vt:variant>
        <vt:i4>0</vt:i4>
      </vt:variant>
      <vt:variant>
        <vt:i4>5</vt:i4>
      </vt:variant>
      <vt:variant>
        <vt:lpwstr>../../../../../Sander/Desktop/Peer Review 2014/Definitions_most relevant set.docx</vt:lpwstr>
      </vt:variant>
      <vt:variant>
        <vt:lpwstr/>
      </vt:variant>
      <vt:variant>
        <vt:i4>4849699</vt:i4>
      </vt:variant>
      <vt:variant>
        <vt:i4>27</vt:i4>
      </vt:variant>
      <vt:variant>
        <vt:i4>0</vt:i4>
      </vt:variant>
      <vt:variant>
        <vt:i4>5</vt:i4>
      </vt:variant>
      <vt:variant>
        <vt:lpwstr>../../../../../Sander/Desktop/Peer Review 2014/Definitions_most relevant set.docx</vt:lpwstr>
      </vt:variant>
      <vt:variant>
        <vt:lpwstr/>
      </vt:variant>
      <vt:variant>
        <vt:i4>4849699</vt:i4>
      </vt:variant>
      <vt:variant>
        <vt:i4>24</vt:i4>
      </vt:variant>
      <vt:variant>
        <vt:i4>0</vt:i4>
      </vt:variant>
      <vt:variant>
        <vt:i4>5</vt:i4>
      </vt:variant>
      <vt:variant>
        <vt:lpwstr>../../../../../Sander/Desktop/Peer Review 2014/Definitions_most relevant set.docx</vt:lpwstr>
      </vt:variant>
      <vt:variant>
        <vt:lpwstr/>
      </vt:variant>
      <vt:variant>
        <vt:i4>4849699</vt:i4>
      </vt:variant>
      <vt:variant>
        <vt:i4>21</vt:i4>
      </vt:variant>
      <vt:variant>
        <vt:i4>0</vt:i4>
      </vt:variant>
      <vt:variant>
        <vt:i4>5</vt:i4>
      </vt:variant>
      <vt:variant>
        <vt:lpwstr>../../../../../Sander/Desktop/Peer Review 2014/Definitions_most relevant set.docx</vt:lpwstr>
      </vt:variant>
      <vt:variant>
        <vt:lpwstr/>
      </vt:variant>
      <vt:variant>
        <vt:i4>4849699</vt:i4>
      </vt:variant>
      <vt:variant>
        <vt:i4>18</vt:i4>
      </vt:variant>
      <vt:variant>
        <vt:i4>0</vt:i4>
      </vt:variant>
      <vt:variant>
        <vt:i4>5</vt:i4>
      </vt:variant>
      <vt:variant>
        <vt:lpwstr>../../../../../Sander/Desktop/Peer Review 2014/Definitions_most relevant set.docx</vt:lpwstr>
      </vt:variant>
      <vt:variant>
        <vt:lpwstr/>
      </vt:variant>
      <vt:variant>
        <vt:i4>4849699</vt:i4>
      </vt:variant>
      <vt:variant>
        <vt:i4>15</vt:i4>
      </vt:variant>
      <vt:variant>
        <vt:i4>0</vt:i4>
      </vt:variant>
      <vt:variant>
        <vt:i4>5</vt:i4>
      </vt:variant>
      <vt:variant>
        <vt:lpwstr>../../../../../Sander/Desktop/Peer Review 2014/Definitions_most relevant set.docx</vt:lpwstr>
      </vt:variant>
      <vt:variant>
        <vt:lpwstr/>
      </vt:variant>
      <vt:variant>
        <vt:i4>2031671</vt:i4>
      </vt:variant>
      <vt:variant>
        <vt:i4>8</vt:i4>
      </vt:variant>
      <vt:variant>
        <vt:i4>0</vt:i4>
      </vt:variant>
      <vt:variant>
        <vt:i4>5</vt:i4>
      </vt:variant>
      <vt:variant>
        <vt:lpwstr/>
      </vt:variant>
      <vt:variant>
        <vt:lpwstr>_Toc285540452</vt:lpwstr>
      </vt:variant>
      <vt:variant>
        <vt:i4>1966135</vt:i4>
      </vt:variant>
      <vt:variant>
        <vt:i4>2</vt:i4>
      </vt:variant>
      <vt:variant>
        <vt:i4>0</vt:i4>
      </vt:variant>
      <vt:variant>
        <vt:i4>5</vt:i4>
      </vt:variant>
      <vt:variant>
        <vt:lpwstr/>
      </vt:variant>
      <vt:variant>
        <vt:lpwstr>_Toc285540447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ORB</cp:lastModifiedBy>
  <cp:revision>2</cp:revision>
  <cp:lastPrinted>2013-06-28T19:23:00Z</cp:lastPrinted>
  <dcterms:created xsi:type="dcterms:W3CDTF">2014-12-01T10:25:00Z</dcterms:created>
  <dcterms:modified xsi:type="dcterms:W3CDTF">2014-12-01T10:25:00Z</dcterms:modified>
</cp:coreProperties>
</file>