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C15" w:rsidRPr="00155BC8" w:rsidRDefault="00F65C15" w:rsidP="00F403D9">
      <w:pPr>
        <w:spacing w:before="100" w:beforeAutospacing="1" w:after="100" w:afterAutospacing="1"/>
      </w:pPr>
      <w:r w:rsidRPr="00155BC8">
        <w:rPr>
          <w:color w:val="1F497D"/>
        </w:rPr>
        <w:t xml:space="preserve">Звіт з якості IFAT </w:t>
      </w:r>
      <w:hyperlink r:id="rId5" w:tgtFrame="_blank" w:history="1">
        <w:r w:rsidRPr="00155BC8">
          <w:rPr>
            <w:rStyle w:val="Hyperlink"/>
          </w:rPr>
          <w:t>http://www.dst.dk/en/Statistik/dokumentation/declarations/foreign-owned-enterprises</w:t>
        </w:r>
      </w:hyperlink>
    </w:p>
    <w:p w:rsidR="00F65C15" w:rsidRPr="00155BC8" w:rsidRDefault="00F65C15" w:rsidP="0059654D">
      <w:pPr>
        <w:spacing w:before="100" w:beforeAutospacing="1" w:after="100" w:afterAutospacing="1" w:line="240" w:lineRule="auto"/>
        <w:jc w:val="center"/>
        <w:outlineLvl w:val="0"/>
        <w:rPr>
          <w:rFonts w:ascii="Times New Roman" w:hAnsi="Times New Roman"/>
          <w:b/>
          <w:bCs/>
          <w:kern w:val="36"/>
          <w:sz w:val="28"/>
          <w:szCs w:val="28"/>
          <w:lang w:eastAsia="uk-UA"/>
        </w:rPr>
      </w:pPr>
      <w:bookmarkStart w:id="0" w:name="_GoBack"/>
      <w:bookmarkEnd w:id="0"/>
      <w:r w:rsidRPr="00155BC8">
        <w:rPr>
          <w:rFonts w:ascii="Times New Roman" w:hAnsi="Times New Roman"/>
          <w:b/>
          <w:bCs/>
          <w:kern w:val="36"/>
          <w:sz w:val="28"/>
          <w:szCs w:val="28"/>
          <w:lang w:eastAsia="uk-UA"/>
        </w:rPr>
        <w:t>Підприємства, що перебувають під іноземним контролем</w:t>
      </w:r>
    </w:p>
    <w:p w:rsidR="00F65C15" w:rsidRPr="00155BC8" w:rsidRDefault="00F65C15" w:rsidP="00C96510">
      <w:pPr>
        <w:spacing w:after="0" w:line="240" w:lineRule="auto"/>
        <w:outlineLvl w:val="0"/>
        <w:rPr>
          <w:rFonts w:ascii="Times New Roman" w:hAnsi="Times New Roman"/>
          <w:sz w:val="24"/>
          <w:szCs w:val="24"/>
        </w:rPr>
      </w:pPr>
      <w:r w:rsidRPr="00155BC8">
        <w:rPr>
          <w:rFonts w:ascii="Times New Roman" w:hAnsi="Times New Roman"/>
          <w:sz w:val="24"/>
          <w:szCs w:val="24"/>
        </w:rPr>
        <w:t xml:space="preserve">Метою цієї області статистики є демонстрація динаміки розвитку та масштабу датських підприємств, що перебувають під іноземним контролем.   </w:t>
      </w:r>
    </w:p>
    <w:p w:rsidR="00F65C15" w:rsidRPr="00155BC8" w:rsidRDefault="00F65C15" w:rsidP="007A25C3">
      <w:pPr>
        <w:pStyle w:val="Heading1"/>
        <w:spacing w:before="0" w:beforeAutospacing="0" w:after="0" w:afterAutospacing="0"/>
        <w:jc w:val="center"/>
        <w:rPr>
          <w:sz w:val="24"/>
          <w:szCs w:val="24"/>
        </w:rPr>
      </w:pPr>
    </w:p>
    <w:p w:rsidR="00F65C15" w:rsidRPr="00155BC8" w:rsidRDefault="00F65C15" w:rsidP="007A25C3">
      <w:pPr>
        <w:pStyle w:val="Heading1"/>
        <w:spacing w:before="0" w:beforeAutospacing="0" w:after="0" w:afterAutospacing="0"/>
        <w:jc w:val="center"/>
        <w:rPr>
          <w:sz w:val="24"/>
          <w:szCs w:val="24"/>
        </w:rPr>
      </w:pPr>
      <w:r w:rsidRPr="00155BC8">
        <w:rPr>
          <w:sz w:val="24"/>
          <w:szCs w:val="24"/>
        </w:rPr>
        <w:t xml:space="preserve">Представлення статистичної інформації </w:t>
      </w:r>
    </w:p>
    <w:p w:rsidR="00F65C15" w:rsidRPr="00155BC8" w:rsidRDefault="00F65C15" w:rsidP="007A25C3">
      <w:pPr>
        <w:pStyle w:val="Heading1"/>
        <w:spacing w:before="0" w:beforeAutospacing="0" w:after="0" w:afterAutospacing="0"/>
        <w:jc w:val="center"/>
        <w:rPr>
          <w:sz w:val="16"/>
          <w:szCs w:val="16"/>
        </w:rPr>
      </w:pPr>
    </w:p>
    <w:p w:rsidR="00F65C15" w:rsidRPr="00155BC8" w:rsidRDefault="00F65C15" w:rsidP="00C96510">
      <w:pPr>
        <w:pStyle w:val="NormalWeb"/>
        <w:spacing w:before="0" w:beforeAutospacing="0" w:after="0" w:afterAutospacing="0"/>
      </w:pPr>
      <w:r w:rsidRPr="00155BC8">
        <w:t xml:space="preserve">Статистика аналізує країну власника в плані території кінцевого володіння. Статистика містить дані про кінцевого власника та окремі показники, отримані із загальної статистики підприємств, такі як оборот, чисельність працівників та кількість підприємств.    </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 xml:space="preserve">Характеристика даних </w:t>
      </w:r>
    </w:p>
    <w:p w:rsidR="00F65C15" w:rsidRPr="00155BC8" w:rsidRDefault="00F65C15" w:rsidP="00C96510">
      <w:pPr>
        <w:pStyle w:val="NormalWeb"/>
        <w:spacing w:before="0" w:beforeAutospacing="0" w:after="0" w:afterAutospacing="0"/>
      </w:pPr>
      <w:r w:rsidRPr="00155BC8">
        <w:t xml:space="preserve">Статистика аналізує країну власника в плані території кінцевого володіння. Статистичні дані містять дані про кінцевого власника та окремі показники, отримані із загальної статистики підприємств, такі як оборот, чисельність працівників та кількість підприємств. Основними показниками для деталізації є іноземне володіння, країна володіння, вид економічної діяльності та географічна територія. В якості основи для статистики розраховується детальна інформація для підприємств усіх галузей промисловості. Тому статистична основа припускає низку альтернативних деталізацій на додаток до опублікованих таблиць.   </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Система класифікації</w:t>
      </w:r>
    </w:p>
    <w:p w:rsidR="00F65C15" w:rsidRPr="00155BC8" w:rsidRDefault="00F65C15" w:rsidP="00C96510">
      <w:pPr>
        <w:pStyle w:val="NormalWeb"/>
        <w:spacing w:before="0" w:beforeAutospacing="0" w:after="0" w:afterAutospacing="0"/>
      </w:pPr>
      <w:r w:rsidRPr="00155BC8">
        <w:rPr>
          <w:rStyle w:val="Strong"/>
        </w:rPr>
        <w:t>Кодифікація галузей</w:t>
      </w:r>
    </w:p>
    <w:p w:rsidR="00F65C15" w:rsidRPr="00155BC8" w:rsidRDefault="00F65C15" w:rsidP="00C96510">
      <w:pPr>
        <w:pStyle w:val="NormalWeb"/>
        <w:spacing w:before="0" w:beforeAutospacing="0" w:after="0" w:afterAutospacing="0"/>
      </w:pPr>
      <w:r w:rsidRPr="00155BC8">
        <w:t xml:space="preserve">Кодифікація галузей відбувається згідно з Датськими промисловими класифікаціями, Dansk Branchekode 2007 (DB07), що є національною версією NACE Ред. 2. Повний огляд можна знайти на </w:t>
      </w:r>
      <w:hyperlink r:id="rId6" w:history="1">
        <w:r w:rsidRPr="00155BC8">
          <w:rPr>
            <w:rStyle w:val="Hyperlink"/>
          </w:rPr>
          <w:t>DB07 site</w:t>
        </w:r>
      </w:hyperlink>
      <w:r w:rsidRPr="00155BC8">
        <w:t>.</w:t>
      </w:r>
    </w:p>
    <w:p w:rsidR="00F65C15" w:rsidRPr="00155BC8" w:rsidRDefault="00F65C15" w:rsidP="00C96510">
      <w:pPr>
        <w:pStyle w:val="NormalWeb"/>
        <w:spacing w:before="0" w:beforeAutospacing="0" w:after="0" w:afterAutospacing="0"/>
      </w:pPr>
      <w:r w:rsidRPr="00155BC8">
        <w:rPr>
          <w:rStyle w:val="Strong"/>
        </w:rPr>
        <w:t>Кінцевий власник</w:t>
      </w:r>
    </w:p>
    <w:p w:rsidR="00F65C15" w:rsidRPr="00155BC8" w:rsidRDefault="00F65C15" w:rsidP="00C96510">
      <w:pPr>
        <w:pStyle w:val="NormalWeb"/>
        <w:spacing w:before="0" w:beforeAutospacing="0" w:after="0" w:afterAutospacing="0"/>
      </w:pPr>
      <w:r w:rsidRPr="00155BC8">
        <w:t>Кінцевий власник розуміється у відношенні до прямого власника, оскільки підприємство може безпосередньо (прямо) належати підприємству певної країни, навіть якщо воно в кінцевому (остаточному) сенсі володіє підприємством в іншій країні.</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Секторне охоплення</w:t>
      </w:r>
    </w:p>
    <w:p w:rsidR="00F65C15" w:rsidRPr="00155BC8" w:rsidRDefault="00F65C15" w:rsidP="00C96510">
      <w:pPr>
        <w:pStyle w:val="NormalWeb"/>
        <w:spacing w:before="0" w:beforeAutospacing="0" w:after="0" w:afterAutospacing="0"/>
      </w:pPr>
      <w:r w:rsidRPr="00155BC8">
        <w:t>Включає всі сектори.</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Статистичні поняття та визначення</w:t>
      </w:r>
    </w:p>
    <w:p w:rsidR="00F65C15" w:rsidRPr="00155BC8" w:rsidRDefault="00F65C15" w:rsidP="00C96510">
      <w:pPr>
        <w:pStyle w:val="NormalWeb"/>
        <w:spacing w:before="0" w:beforeAutospacing="0" w:after="0" w:afterAutospacing="0"/>
      </w:pPr>
      <w:r w:rsidRPr="00155BC8">
        <w:t xml:space="preserve">Чисельність: Особи, зазначені в штатному розкладі в одиницях еквіваленту повної зайнятості.  </w:t>
      </w:r>
    </w:p>
    <w:p w:rsidR="00F65C15" w:rsidRPr="00155BC8" w:rsidRDefault="00F65C15" w:rsidP="00C96510">
      <w:pPr>
        <w:pStyle w:val="NormalWeb"/>
        <w:spacing w:before="0" w:beforeAutospacing="0" w:after="0" w:afterAutospacing="0"/>
      </w:pPr>
      <w:r w:rsidRPr="00155BC8">
        <w:t>Підприємство: Зазвичай відповідає юридичній одинці, тобто корпораціям з обмеженою відповідальністю, поодиноким торговельним компаніям, партнерствам тощо. У деяких нечисленних випадках декілька юридичних одиниць, що управляються як один суб’єкт, об’єднуються в одне підприємство.</w:t>
      </w:r>
    </w:p>
    <w:p w:rsidR="00F65C15" w:rsidRPr="00155BC8" w:rsidRDefault="00F65C15" w:rsidP="00C96510">
      <w:pPr>
        <w:pStyle w:val="NormalWeb"/>
        <w:spacing w:before="0" w:beforeAutospacing="0" w:after="0" w:afterAutospacing="0"/>
      </w:pPr>
      <w:r w:rsidRPr="00155BC8">
        <w:t xml:space="preserve">Оборот: Оборот являє собою чистий обсяг реалізації, до якого включаються капіталізована робота, що виконується компанією для власних потреб, та всі витрати (транспорт, пакування тощо), які передаються на рахунок замовника. Виключаються цінові знижки, акційні пропозиції, дисконти, ПДВ та акцизні збори. Доходи, що класифікуються як загальний дохід від реалізації, фінансовий дохід та позареалізаційний дохід в обліку підприємства, також виключаються з обороту.      </w:t>
      </w:r>
    </w:p>
    <w:p w:rsidR="00F65C15" w:rsidRPr="00155BC8" w:rsidRDefault="00F65C15" w:rsidP="00C96510">
      <w:pPr>
        <w:pStyle w:val="NormalWeb"/>
        <w:spacing w:before="0" w:beforeAutospacing="0" w:after="0" w:afterAutospacing="0"/>
      </w:pPr>
      <w:r w:rsidRPr="00155BC8">
        <w:t>Кінцевий власник: Статистика визначає володіння з боку підприємства, пов’язане з кінцевим власником, який контролює це підприємство, тобто, має право на визначення ради підприємства, генеральної стратегії, якщо необхідно, шляхом призначення правління. За правилом, контролююча одиниця визначається як кінцевий власник, якому, прямо чи опосередковано, належить понад 50% акціонерного капіталу або прав голосу акціонерів.  Кінцевий власник повинен розглядатися у відношенні до прямого власника, оскільки підприємство може безпосередньо (прямо) належати іншому підприємству в певній країні, навіть якщо воно є кінцевим (остаточним) власником підприємства в іншій країні.</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Статистична одиниця</w:t>
      </w:r>
    </w:p>
    <w:p w:rsidR="00F65C15" w:rsidRPr="00155BC8" w:rsidRDefault="00F65C15" w:rsidP="00C96510">
      <w:pPr>
        <w:pStyle w:val="NormalWeb"/>
        <w:spacing w:before="0" w:beforeAutospacing="0" w:after="0" w:afterAutospacing="0"/>
      </w:pPr>
      <w:r w:rsidRPr="00155BC8">
        <w:t>Статистичною одиницею є підприємство, яке зазвичай відповідає юридичній одиниці, наприклад,   корпораціям з обмеженою відповідальністю, поодиноким торговельним компаніям, партнерствам тощо. У деяких нечисленних випадках декілька юридичних одиниць, що управляються як один суб’єкт, об’єднуються в одне підприємство.</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Статистична сукупність</w:t>
      </w:r>
    </w:p>
    <w:p w:rsidR="00F65C15" w:rsidRPr="00155BC8" w:rsidRDefault="00F65C15" w:rsidP="00C22D85">
      <w:pPr>
        <w:pStyle w:val="NormalWeb"/>
        <w:spacing w:before="0" w:beforeAutospacing="0" w:after="0" w:afterAutospacing="0"/>
      </w:pPr>
      <w:r w:rsidRPr="00155BC8">
        <w:t xml:space="preserve">Датські та іноземні підприємства на території Данії. </w:t>
      </w:r>
    </w:p>
    <w:p w:rsidR="00F65C15" w:rsidRPr="00155BC8" w:rsidRDefault="00F65C15" w:rsidP="00C22D85">
      <w:pPr>
        <w:pStyle w:val="NormalWeb"/>
        <w:spacing w:before="0" w:beforeAutospacing="0" w:after="0" w:afterAutospacing="0"/>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Еталонна територія</w:t>
      </w:r>
    </w:p>
    <w:p w:rsidR="00F65C15" w:rsidRPr="00155BC8" w:rsidRDefault="00F65C15" w:rsidP="00C96510">
      <w:pPr>
        <w:pStyle w:val="NormalWeb"/>
        <w:spacing w:before="0" w:beforeAutospacing="0" w:after="0" w:afterAutospacing="0"/>
      </w:pPr>
      <w:r w:rsidRPr="00155BC8">
        <w:t>Данія.</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Часове охоплення</w:t>
      </w:r>
    </w:p>
    <w:p w:rsidR="00F65C15" w:rsidRPr="00155BC8" w:rsidRDefault="00F65C15" w:rsidP="00590CCA">
      <w:pPr>
        <w:pStyle w:val="NormalWeb"/>
        <w:spacing w:before="0" w:beforeAutospacing="0" w:after="0" w:afterAutospacing="0"/>
      </w:pPr>
      <w:r w:rsidRPr="00155BC8">
        <w:t xml:space="preserve">У порівнянні з попередніми публікаціями, тут має місце невелике переривання, оскільки в 2004 році та надалі використовувалися інші джерела. </w:t>
      </w:r>
    </w:p>
    <w:p w:rsidR="00F65C15" w:rsidRPr="00155BC8" w:rsidRDefault="00F65C15" w:rsidP="00590CCA">
      <w:pPr>
        <w:pStyle w:val="NormalWeb"/>
        <w:spacing w:before="0" w:beforeAutospacing="0" w:after="0" w:afterAutospacing="0"/>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Базисний період</w:t>
      </w:r>
    </w:p>
    <w:p w:rsidR="00F65C15" w:rsidRPr="00155BC8" w:rsidRDefault="00F65C15" w:rsidP="00C96510">
      <w:pPr>
        <w:pStyle w:val="NormalWeb"/>
        <w:spacing w:before="0" w:beforeAutospacing="0" w:after="0" w:afterAutospacing="0"/>
      </w:pPr>
      <w:r w:rsidRPr="00155BC8">
        <w:t>Не застосовується для цієї області статистики.</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Одиниця вимірювання</w:t>
      </w:r>
    </w:p>
    <w:p w:rsidR="00F65C15" w:rsidRPr="00155BC8" w:rsidRDefault="00F65C15" w:rsidP="00C96510">
      <w:pPr>
        <w:pStyle w:val="NormalWeb"/>
        <w:spacing w:before="0" w:beforeAutospacing="0" w:after="0" w:afterAutospacing="0"/>
      </w:pPr>
      <w:r w:rsidRPr="00155BC8">
        <w:t xml:space="preserve">Одиницею вимірювання є кількість, мільйони кг, тисяча мільйонів та відсотки, в залежності від показника та місця, для якого вони публікуються.  </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Еталонний період</w:t>
      </w:r>
    </w:p>
    <w:p w:rsidR="00F65C15" w:rsidRPr="00155BC8" w:rsidRDefault="00F65C15" w:rsidP="00C96510">
      <w:pPr>
        <w:pStyle w:val="NormalWeb"/>
        <w:spacing w:before="0" w:beforeAutospacing="0" w:after="0" w:afterAutospacing="0"/>
      </w:pPr>
      <w:r w:rsidRPr="00155BC8">
        <w:t>Статистика для певного року t, у пов’язана з річними звітами підприємств</w:t>
      </w:r>
      <w:r w:rsidRPr="00462325">
        <w:t>, що охоплюють період, з 1 травня року t до 30 квітня року t+1.</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Періодичність збору даних</w:t>
      </w:r>
    </w:p>
    <w:p w:rsidR="00F65C15" w:rsidRPr="00155BC8" w:rsidRDefault="00F65C15" w:rsidP="00C96510">
      <w:pPr>
        <w:pStyle w:val="NormalWeb"/>
        <w:spacing w:before="0" w:beforeAutospacing="0" w:after="0" w:afterAutospacing="0"/>
      </w:pPr>
      <w:r w:rsidRPr="00155BC8">
        <w:t>Річна статистика.</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Законодавчі акти та інші домовленості</w:t>
      </w:r>
    </w:p>
    <w:p w:rsidR="00F65C15" w:rsidRPr="00155BC8" w:rsidRDefault="00F65C15" w:rsidP="00C96510">
      <w:pPr>
        <w:pStyle w:val="NormalWeb"/>
        <w:spacing w:before="0" w:beforeAutospacing="0" w:after="0" w:afterAutospacing="0"/>
      </w:pPr>
      <w:r w:rsidRPr="00155BC8">
        <w:t>Регламент (ЄC) № 716/2007 Європейського Парламенту і Ради від 20 червня 2007 про статистику Співтовариства щодо структури та діяльності іноземних філій.</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Витрати і навантаження</w:t>
      </w:r>
    </w:p>
    <w:p w:rsidR="00F65C15" w:rsidRPr="00155BC8" w:rsidRDefault="00F65C15" w:rsidP="00590CCA">
      <w:pPr>
        <w:pStyle w:val="NormalWeb"/>
        <w:spacing w:before="0" w:beforeAutospacing="0" w:after="0" w:afterAutospacing="0"/>
      </w:pPr>
      <w:r w:rsidRPr="00155BC8">
        <w:t xml:space="preserve">Безпосереднє звітне навантаження на респондентів дорівнює нулю, дані збираються з інших джерел статистичної інформації. </w:t>
      </w:r>
    </w:p>
    <w:p w:rsidR="00F65C15" w:rsidRPr="00155BC8" w:rsidRDefault="00F65C15" w:rsidP="00590CCA">
      <w:pPr>
        <w:pStyle w:val="NormalWeb"/>
        <w:spacing w:before="0" w:beforeAutospacing="0" w:after="0" w:afterAutospacing="0"/>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Коментарі</w:t>
      </w:r>
    </w:p>
    <w:p w:rsidR="00F65C15" w:rsidRPr="00155BC8" w:rsidRDefault="00F65C15" w:rsidP="00C96510">
      <w:pPr>
        <w:pStyle w:val="NormalWeb"/>
        <w:spacing w:before="0" w:beforeAutospacing="0" w:after="0" w:afterAutospacing="0"/>
      </w:pPr>
      <w:r w:rsidRPr="00155BC8">
        <w:t>Для отримання більш детальної інформації щодо даних, див. декларацію якості для розділу  «Статистика підприємств» у темі «Огляд підприємств у поперековому розрізі».</w:t>
      </w:r>
    </w:p>
    <w:p w:rsidR="00F65C15" w:rsidRPr="00155BC8" w:rsidRDefault="00F65C15" w:rsidP="00C96510">
      <w:pPr>
        <w:pStyle w:val="Heading1"/>
        <w:jc w:val="center"/>
        <w:rPr>
          <w:sz w:val="24"/>
          <w:szCs w:val="24"/>
        </w:rPr>
      </w:pPr>
      <w:r w:rsidRPr="00155BC8">
        <w:rPr>
          <w:sz w:val="24"/>
          <w:szCs w:val="24"/>
        </w:rPr>
        <w:t>Обробка статистичних даних</w:t>
      </w:r>
    </w:p>
    <w:p w:rsidR="00F65C15" w:rsidRPr="00155BC8" w:rsidRDefault="00F65C15" w:rsidP="00C96510">
      <w:pPr>
        <w:pStyle w:val="NormalWeb"/>
        <w:spacing w:before="0" w:beforeAutospacing="0" w:after="0" w:afterAutospacing="0"/>
      </w:pPr>
      <w:r w:rsidRPr="00155BC8">
        <w:t xml:space="preserve">Інформація від Національного банку, офіційні фінансові звіти підприємств, записи Центрального реєстру підприємств та інші джерела використовуються для актуалізації сукупності компаній, що перебувають під іноземним контролем. Також використовується інформація загальної статистики підприємств.     </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Джерела даних</w:t>
      </w:r>
    </w:p>
    <w:p w:rsidR="00F65C15" w:rsidRPr="00155BC8" w:rsidRDefault="00F65C15" w:rsidP="00C96510">
      <w:pPr>
        <w:pStyle w:val="NormalWeb"/>
        <w:spacing w:before="0" w:beforeAutospacing="0" w:after="0" w:afterAutospacing="0"/>
      </w:pPr>
      <w:r w:rsidRPr="00155BC8">
        <w:t>Інформація від Національного банку, офіційні фінансові звіти підприємств, записи Центрального реєстру підприємств та інші джерела використовуються для актуалізації сукупності компаній, що перебувають під іноземним контролем. Також використовується інформація загальної статистики підприємств.</w:t>
      </w: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Періодичність збору даних</w:t>
      </w:r>
    </w:p>
    <w:p w:rsidR="00F65C15" w:rsidRPr="00155BC8" w:rsidRDefault="00F65C15" w:rsidP="00C96510">
      <w:pPr>
        <w:pStyle w:val="NormalWeb"/>
        <w:spacing w:before="0" w:beforeAutospacing="0" w:after="0" w:afterAutospacing="0"/>
      </w:pPr>
      <w:r w:rsidRPr="00155BC8">
        <w:t>Підприємства, що перебувають під іноземним контролем, у конкретному році  t, у відношенні до річних фінансових звітів з періодом з 1 травня року t до 30 квітня року t+1.</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Збір даних</w:t>
      </w:r>
    </w:p>
    <w:p w:rsidR="00F65C15" w:rsidRPr="00155BC8" w:rsidRDefault="00F65C15" w:rsidP="00C96510">
      <w:pPr>
        <w:pStyle w:val="NormalWeb"/>
        <w:spacing w:before="0" w:beforeAutospacing="0" w:after="0" w:afterAutospacing="0"/>
      </w:pPr>
      <w:r w:rsidRPr="00155BC8">
        <w:t>Збирається шляхом пошуку інформації з реєстрів та інших статистичних джерел.</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Перевірка даних</w:t>
      </w:r>
    </w:p>
    <w:p w:rsidR="00F65C15" w:rsidRPr="00155BC8" w:rsidRDefault="00F65C15" w:rsidP="00C96510">
      <w:pPr>
        <w:pStyle w:val="NormalWeb"/>
        <w:spacing w:before="0" w:beforeAutospacing="0" w:after="0" w:afterAutospacing="0"/>
      </w:pPr>
      <w:r w:rsidRPr="00155BC8">
        <w:t xml:space="preserve">Інформація про іноземне володіння зіставляється між роками.  </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Укладання даних</w:t>
      </w:r>
    </w:p>
    <w:p w:rsidR="00F65C15" w:rsidRPr="00155BC8" w:rsidRDefault="00F65C15" w:rsidP="00C96510">
      <w:pPr>
        <w:pStyle w:val="NormalWeb"/>
        <w:spacing w:before="0" w:beforeAutospacing="0" w:after="0" w:afterAutospacing="0"/>
      </w:pPr>
      <w:r w:rsidRPr="00155BC8">
        <w:t>Сукупність формується на основі таких джерел:</w:t>
      </w:r>
    </w:p>
    <w:p w:rsidR="00F65C15" w:rsidRPr="00155BC8" w:rsidRDefault="00F65C15" w:rsidP="00C96510">
      <w:pPr>
        <w:numPr>
          <w:ilvl w:val="0"/>
          <w:numId w:val="1"/>
        </w:numPr>
        <w:spacing w:after="0" w:line="240" w:lineRule="auto"/>
        <w:rPr>
          <w:rFonts w:ascii="Times New Roman" w:hAnsi="Times New Roman"/>
          <w:sz w:val="24"/>
          <w:szCs w:val="24"/>
        </w:rPr>
      </w:pPr>
      <w:r w:rsidRPr="00155BC8">
        <w:rPr>
          <w:rFonts w:ascii="Times New Roman" w:hAnsi="Times New Roman"/>
          <w:sz w:val="24"/>
          <w:szCs w:val="24"/>
        </w:rPr>
        <w:t>Дані від Національного банку.</w:t>
      </w:r>
    </w:p>
    <w:p w:rsidR="00F65C15" w:rsidRPr="00155BC8" w:rsidRDefault="00F65C15" w:rsidP="00C96510">
      <w:pPr>
        <w:numPr>
          <w:ilvl w:val="0"/>
          <w:numId w:val="1"/>
        </w:numPr>
        <w:spacing w:after="0" w:line="240" w:lineRule="auto"/>
        <w:rPr>
          <w:rFonts w:ascii="Times New Roman" w:hAnsi="Times New Roman"/>
          <w:sz w:val="24"/>
          <w:szCs w:val="24"/>
        </w:rPr>
      </w:pPr>
      <w:r w:rsidRPr="00155BC8">
        <w:rPr>
          <w:rFonts w:ascii="Times New Roman" w:hAnsi="Times New Roman"/>
          <w:sz w:val="24"/>
          <w:szCs w:val="24"/>
        </w:rPr>
        <w:t>Офіційні фінансові звіти підприємств.</w:t>
      </w:r>
    </w:p>
    <w:p w:rsidR="00F65C15" w:rsidRPr="00155BC8" w:rsidRDefault="00F65C15" w:rsidP="00C96510">
      <w:pPr>
        <w:numPr>
          <w:ilvl w:val="0"/>
          <w:numId w:val="1"/>
        </w:numPr>
        <w:spacing w:after="0" w:line="240" w:lineRule="auto"/>
        <w:rPr>
          <w:rFonts w:ascii="Times New Roman" w:hAnsi="Times New Roman"/>
          <w:sz w:val="24"/>
          <w:szCs w:val="24"/>
        </w:rPr>
      </w:pPr>
      <w:r w:rsidRPr="00155BC8">
        <w:rPr>
          <w:rFonts w:ascii="Times New Roman" w:hAnsi="Times New Roman"/>
          <w:sz w:val="24"/>
          <w:szCs w:val="24"/>
        </w:rPr>
        <w:t>Центральний реєстр підприємств.</w:t>
      </w:r>
    </w:p>
    <w:p w:rsidR="00F65C15" w:rsidRPr="00155BC8" w:rsidRDefault="00F65C15" w:rsidP="00C96510">
      <w:pPr>
        <w:numPr>
          <w:ilvl w:val="0"/>
          <w:numId w:val="1"/>
        </w:numPr>
        <w:spacing w:after="0" w:line="240" w:lineRule="auto"/>
        <w:rPr>
          <w:rFonts w:ascii="Times New Roman" w:hAnsi="Times New Roman"/>
          <w:sz w:val="24"/>
          <w:szCs w:val="24"/>
        </w:rPr>
      </w:pPr>
      <w:r w:rsidRPr="00155BC8">
        <w:rPr>
          <w:rFonts w:ascii="Times New Roman" w:hAnsi="Times New Roman"/>
          <w:sz w:val="24"/>
          <w:szCs w:val="24"/>
        </w:rPr>
        <w:t>Загальна статистика підприємств.</w:t>
      </w:r>
    </w:p>
    <w:p w:rsidR="00F65C15" w:rsidRPr="00155BC8" w:rsidRDefault="00F65C15" w:rsidP="00C96510">
      <w:pPr>
        <w:pStyle w:val="NormalWeb"/>
        <w:spacing w:before="0" w:beforeAutospacing="0" w:after="0" w:afterAutospacing="0"/>
      </w:pPr>
      <w:r w:rsidRPr="00155BC8">
        <w:t>Національний банк збирає дані про прямі іноземні інвестиції в Данії. Служба статистики Данії отримує інформацію від Національного банку стосовно підприємств на території Данії, що перебувають під іноземним контролем, а саме: прямий власник, кінцевий власник та форма власності. Національний банк збирає інформацію через анкетне опитування.</w:t>
      </w:r>
    </w:p>
    <w:p w:rsidR="00F65C15" w:rsidRPr="00155BC8" w:rsidRDefault="00F65C15" w:rsidP="00C96510">
      <w:pPr>
        <w:pStyle w:val="NormalWeb"/>
        <w:spacing w:before="0" w:beforeAutospacing="0" w:after="0" w:afterAutospacing="0"/>
      </w:pPr>
      <w:r w:rsidRPr="00155BC8">
        <w:t>Крім інформації, отриманої від Національного банку, використовується інформація з офіційних фінансових звітів підприємств.</w:t>
      </w:r>
    </w:p>
    <w:p w:rsidR="00F65C15" w:rsidRPr="00155BC8" w:rsidRDefault="00F65C15" w:rsidP="00C96510">
      <w:pPr>
        <w:pStyle w:val="NormalWeb"/>
        <w:spacing w:before="0" w:beforeAutospacing="0" w:after="0" w:afterAutospacing="0"/>
      </w:pPr>
      <w:r w:rsidRPr="00155BC8">
        <w:t xml:space="preserve">Центральний реєстр підприємств використовується для ідентифікації підприємств.  </w:t>
      </w:r>
    </w:p>
    <w:p w:rsidR="00F65C15" w:rsidRPr="00155BC8" w:rsidRDefault="00F65C15" w:rsidP="00C96510">
      <w:pPr>
        <w:pStyle w:val="NormalWeb"/>
        <w:spacing w:before="0" w:beforeAutospacing="0" w:after="0" w:afterAutospacing="0"/>
      </w:pPr>
      <w:r w:rsidRPr="00155BC8">
        <w:t xml:space="preserve">Із загальної статистики підприємств отримуються дані про оборот, кількості підприємств та працівників для всіх галузей приватного сектору.  </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Коригування</w:t>
      </w:r>
    </w:p>
    <w:p w:rsidR="00F65C15" w:rsidRPr="00155BC8" w:rsidRDefault="00F65C15" w:rsidP="00C96510">
      <w:pPr>
        <w:pStyle w:val="NormalWeb"/>
        <w:spacing w:before="0" w:beforeAutospacing="0" w:after="0" w:afterAutospacing="0"/>
      </w:pPr>
      <w:r w:rsidRPr="00155BC8">
        <w:t>Не застосовується для цієї області статистики.</w:t>
      </w:r>
    </w:p>
    <w:p w:rsidR="00F65C15" w:rsidRPr="00155BC8" w:rsidRDefault="00F65C15" w:rsidP="00C96510">
      <w:pPr>
        <w:pStyle w:val="Heading1"/>
        <w:jc w:val="center"/>
        <w:rPr>
          <w:sz w:val="24"/>
          <w:szCs w:val="24"/>
        </w:rPr>
      </w:pPr>
      <w:r w:rsidRPr="00155BC8">
        <w:rPr>
          <w:sz w:val="24"/>
          <w:szCs w:val="24"/>
        </w:rPr>
        <w:t>Релевантність</w:t>
      </w:r>
    </w:p>
    <w:p w:rsidR="00F65C15" w:rsidRPr="00155BC8" w:rsidRDefault="00F65C15" w:rsidP="00C96510">
      <w:pPr>
        <w:pStyle w:val="NormalWeb"/>
        <w:spacing w:before="0" w:beforeAutospacing="0" w:after="0" w:afterAutospacing="0"/>
      </w:pPr>
      <w:r w:rsidRPr="00155BC8">
        <w:t>Користувачі: органи державної влади, Євростат, федерації роботодавців та працівників, приватні компанії, політичні діячі, економісти, журналісти та студенти.</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Потреби користувачів</w:t>
      </w:r>
    </w:p>
    <w:p w:rsidR="00F65C15" w:rsidRPr="00155BC8" w:rsidRDefault="00F65C15" w:rsidP="00C96510">
      <w:pPr>
        <w:pStyle w:val="NormalWeb"/>
        <w:spacing w:before="0" w:beforeAutospacing="0" w:after="0" w:afterAutospacing="0"/>
      </w:pPr>
      <w:r w:rsidRPr="00155BC8">
        <w:t>Користувачі: органи державної влади, Євростат, федерації роботодавців та працівників, приватні компанії, політичні діячі, економісти, журналісти та студенти.</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Задоволеність користувачів</w:t>
      </w:r>
    </w:p>
    <w:p w:rsidR="00F65C15" w:rsidRPr="00155BC8" w:rsidRDefault="00F65C15" w:rsidP="00C96510">
      <w:pPr>
        <w:pStyle w:val="NormalWeb"/>
        <w:spacing w:before="0" w:beforeAutospacing="0" w:after="0" w:afterAutospacing="0"/>
      </w:pPr>
      <w:r w:rsidRPr="00155BC8">
        <w:t>Обстеження задоволеності користувачів не проводиться.</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 xml:space="preserve">Рівень повноти даних </w:t>
      </w:r>
    </w:p>
    <w:p w:rsidR="00F65C15" w:rsidRPr="00155BC8" w:rsidRDefault="00F65C15" w:rsidP="00C96510">
      <w:pPr>
        <w:pStyle w:val="NormalWeb"/>
        <w:spacing w:before="0" w:beforeAutospacing="0" w:after="0" w:afterAutospacing="0"/>
      </w:pPr>
      <w:r w:rsidRPr="00155BC8">
        <w:t>Для деяких галузей детальні дані не публікуються з міркувань конфіденційності.</w:t>
      </w:r>
    </w:p>
    <w:p w:rsidR="00F65C15" w:rsidRPr="00155BC8" w:rsidRDefault="00F65C15" w:rsidP="00C96510">
      <w:pPr>
        <w:pStyle w:val="Heading1"/>
        <w:jc w:val="center"/>
        <w:rPr>
          <w:sz w:val="24"/>
          <w:szCs w:val="24"/>
        </w:rPr>
      </w:pPr>
      <w:r w:rsidRPr="00155BC8">
        <w:rPr>
          <w:sz w:val="24"/>
          <w:szCs w:val="24"/>
        </w:rPr>
        <w:t>Точність та надійність</w:t>
      </w:r>
    </w:p>
    <w:p w:rsidR="00F65C15" w:rsidRPr="00155BC8" w:rsidRDefault="00F65C15" w:rsidP="00C96510">
      <w:pPr>
        <w:pStyle w:val="NormalWeb"/>
        <w:spacing w:before="0" w:beforeAutospacing="0" w:after="0" w:afterAutospacing="0"/>
      </w:pPr>
      <w:r w:rsidRPr="00155BC8">
        <w:t xml:space="preserve">Підприємства, що перебувають під іноземним контролем, включають тільки ті, які можна було знайти з використанням вище перелічених джерел. Тому кількість підприємств, що перебувають під іноземним контролем, може бути більшою, ніж та, що включена до відповідної статистики.   </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Загальна точність</w:t>
      </w:r>
    </w:p>
    <w:p w:rsidR="00F65C15" w:rsidRPr="00155BC8" w:rsidRDefault="00F65C15" w:rsidP="00C96510">
      <w:pPr>
        <w:pStyle w:val="NormalWeb"/>
        <w:spacing w:before="0" w:beforeAutospacing="0" w:after="0" w:afterAutospacing="0"/>
      </w:pPr>
      <w:r w:rsidRPr="00155BC8">
        <w:t xml:space="preserve">Не розраховується для визначення статистичної надійності. </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Помилка вибірки</w:t>
      </w:r>
    </w:p>
    <w:p w:rsidR="00F65C15" w:rsidRPr="00155BC8" w:rsidRDefault="00F65C15" w:rsidP="00C96510">
      <w:pPr>
        <w:pStyle w:val="NormalWeb"/>
        <w:spacing w:before="0" w:beforeAutospacing="0" w:after="0" w:afterAutospacing="0"/>
      </w:pPr>
      <w:r w:rsidRPr="00155BC8">
        <w:t>Не застосовується для цієї області статистики.</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741505">
      <w:pPr>
        <w:pStyle w:val="Heading2"/>
        <w:spacing w:before="0" w:line="240" w:lineRule="auto"/>
        <w:rPr>
          <w:rFonts w:ascii="Times New Roman" w:hAnsi="Times New Roman"/>
          <w:sz w:val="24"/>
          <w:szCs w:val="24"/>
        </w:rPr>
      </w:pPr>
      <w:r w:rsidRPr="00155BC8">
        <w:rPr>
          <w:rFonts w:ascii="Times New Roman" w:hAnsi="Times New Roman"/>
          <w:sz w:val="24"/>
          <w:szCs w:val="24"/>
        </w:rPr>
        <w:t>Помилка, не пов’язана з вибіркою, та A4. Невідповідь по одиниці - рівень для U та A5. Невідповідь по пункту – рівень для U</w:t>
      </w:r>
    </w:p>
    <w:p w:rsidR="00F65C15" w:rsidRPr="00155BC8" w:rsidRDefault="00F65C15" w:rsidP="00C96510">
      <w:pPr>
        <w:pStyle w:val="NormalWeb"/>
        <w:spacing w:before="0" w:beforeAutospacing="0" w:after="0" w:afterAutospacing="0"/>
      </w:pPr>
      <w:r w:rsidRPr="00155BC8">
        <w:t xml:space="preserve">Розрахунки невизначеності не здійснюються. </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Управління якістю</w:t>
      </w:r>
    </w:p>
    <w:p w:rsidR="00F65C15" w:rsidRPr="00155BC8" w:rsidRDefault="00F65C15" w:rsidP="00C96510">
      <w:pPr>
        <w:pStyle w:val="NormalWeb"/>
        <w:spacing w:before="0" w:beforeAutospacing="0" w:after="0" w:afterAutospacing="0"/>
      </w:pPr>
      <w:r w:rsidRPr="00155BC8">
        <w:t>Служба статистики Данії дотримується рекомендацій щодо організації та управління якістю, передбачених Кодексом норм Європейської статистики (CoP), та Керівництвом з реалізації, представленим в Структурі забезпечення якості Європейської статичної системи  (QAF). Була заснована Наглядова Рада з питань якості та визначена центральна функція забезпечення якості для постійного забезпечення контролю продукції та процесів.</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Забезпечення якості</w:t>
      </w:r>
    </w:p>
    <w:p w:rsidR="00F65C15" w:rsidRPr="00155BC8" w:rsidRDefault="00F65C15" w:rsidP="00C96510">
      <w:pPr>
        <w:pStyle w:val="NormalWeb"/>
        <w:spacing w:before="0" w:beforeAutospacing="0" w:after="0" w:afterAutospacing="0"/>
      </w:pPr>
      <w:r w:rsidRPr="00155BC8">
        <w:t>Служба статистики Данії дотримується принципів, викладених у Кодексі норм Європейської статистики (CoP), та використовує Структуру забезпечення якості Європейської статичної системи  (QAF) для впровадження принципів. Це означає постійну децентралізацію та центральний контроль продукції і процесів на основі документації з дотриманням міжнародних стандартів. Функція центрального забезпечення якості звітує Наглядовій Раді стосовно якості. Звіти включають пропозиції щодо покращення, які оцінюються, розглядаються та потім реалізовуються.</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Оцінка якості</w:t>
      </w:r>
    </w:p>
    <w:p w:rsidR="00F65C15" w:rsidRPr="00155BC8" w:rsidRDefault="00F65C15" w:rsidP="00C96510">
      <w:pPr>
        <w:pStyle w:val="NormalWeb"/>
        <w:spacing w:before="0" w:beforeAutospacing="0" w:after="0" w:afterAutospacing="0"/>
      </w:pPr>
      <w:r w:rsidRPr="00155BC8">
        <w:t>До переліку підприємств, що перебувають під іноземним контролем, входять лише ті, які можливо було знайти з використанням вищезазначених джерел. Тому кількість підприємств, що перебувають під іноземним контролем, може бути більшою, ніж та, що включена до відповідної статистики.</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Уточнення даних - політика</w:t>
      </w:r>
    </w:p>
    <w:p w:rsidR="00F65C15" w:rsidRPr="00155BC8" w:rsidRDefault="00F65C15" w:rsidP="00C96510">
      <w:pPr>
        <w:pStyle w:val="NormalWeb"/>
        <w:spacing w:before="0" w:beforeAutospacing="0" w:after="0" w:afterAutospacing="0"/>
      </w:pPr>
      <w:r w:rsidRPr="00155BC8">
        <w:t xml:space="preserve">Служба статистики Данії уточнює опубліковані цифри згідно з </w:t>
      </w:r>
      <w:hyperlink r:id="rId7" w:history="1">
        <w:r w:rsidRPr="00155BC8">
          <w:rPr>
            <w:rStyle w:val="Hyperlink"/>
          </w:rPr>
          <w:t xml:space="preserve"> Політикою уточнення для Статистики Данії</w:t>
        </w:r>
      </w:hyperlink>
      <w:r w:rsidRPr="00155BC8">
        <w:t>. Загальноприйняті процедури та принципи Політики уточнення для деяких областей статистики доповнюються спеціальною практикою уточнення</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Уточнення даних - практика</w:t>
      </w:r>
    </w:p>
    <w:p w:rsidR="00F65C15" w:rsidRPr="00155BC8" w:rsidRDefault="00F65C15" w:rsidP="00C96510">
      <w:pPr>
        <w:pStyle w:val="NormalWeb"/>
        <w:spacing w:before="0" w:beforeAutospacing="0" w:after="0" w:afterAutospacing="0"/>
      </w:pPr>
      <w:r w:rsidRPr="00155BC8">
        <w:t xml:space="preserve">Кількість підприємств, що перебувають під іноземним контролем, може бути більшою, ніж та, що включена до відповідної статистики. Через це попередньо опубліковані цифри можуть зазнати уточнень.  </w:t>
      </w:r>
    </w:p>
    <w:p w:rsidR="00F65C15" w:rsidRPr="00155BC8" w:rsidRDefault="00F65C15" w:rsidP="00C96510">
      <w:pPr>
        <w:pStyle w:val="Heading1"/>
        <w:jc w:val="center"/>
        <w:rPr>
          <w:sz w:val="24"/>
          <w:szCs w:val="24"/>
        </w:rPr>
      </w:pPr>
      <w:r w:rsidRPr="00155BC8">
        <w:rPr>
          <w:sz w:val="24"/>
          <w:szCs w:val="24"/>
        </w:rPr>
        <w:t>Своєчасність та пунктуальність</w:t>
      </w:r>
    </w:p>
    <w:p w:rsidR="00F65C15" w:rsidRPr="00155BC8" w:rsidRDefault="00F65C15" w:rsidP="00C96510">
      <w:pPr>
        <w:pStyle w:val="NormalWeb"/>
        <w:spacing w:before="0" w:beforeAutospacing="0" w:after="0" w:afterAutospacing="0"/>
      </w:pPr>
      <w:r w:rsidRPr="00155BC8">
        <w:t>Статистика публікується один раз на рік приблизно через 17 місяців з кінця еталонного року (30 квітня).</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6C5F00">
      <w:pPr>
        <w:pStyle w:val="Heading2"/>
        <w:spacing w:before="0" w:line="240" w:lineRule="auto"/>
        <w:rPr>
          <w:rFonts w:ascii="Times New Roman" w:hAnsi="Times New Roman"/>
          <w:sz w:val="24"/>
          <w:szCs w:val="24"/>
        </w:rPr>
      </w:pPr>
      <w:r w:rsidRPr="00155BC8">
        <w:rPr>
          <w:rFonts w:ascii="Times New Roman" w:hAnsi="Times New Roman"/>
          <w:sz w:val="24"/>
          <w:szCs w:val="24"/>
        </w:rPr>
        <w:t>Своєчасність та часові затримки – остаточні результати</w:t>
      </w:r>
    </w:p>
    <w:p w:rsidR="00F65C15" w:rsidRPr="00155BC8" w:rsidRDefault="00F65C15" w:rsidP="006C5F00">
      <w:pPr>
        <w:pStyle w:val="NormalWeb"/>
        <w:spacing w:before="0" w:beforeAutospacing="0" w:after="0" w:afterAutospacing="0"/>
      </w:pPr>
      <w:r w:rsidRPr="00155BC8">
        <w:t>Статистика публікується один раз на рік приблизно через 17 місяців з кінця еталонного року (30 квітня).</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Пунктуальність</w:t>
      </w:r>
    </w:p>
    <w:p w:rsidR="00F65C15" w:rsidRPr="00155BC8" w:rsidRDefault="00F65C15" w:rsidP="00C96510">
      <w:pPr>
        <w:pStyle w:val="NormalWeb"/>
        <w:spacing w:before="0" w:beforeAutospacing="0" w:after="0" w:afterAutospacing="0"/>
      </w:pPr>
      <w:r w:rsidRPr="00155BC8">
        <w:t xml:space="preserve">Статистика зазвичай публікується без затримок по відношенню до визначеної дати.  </w:t>
      </w:r>
    </w:p>
    <w:p w:rsidR="00F65C15" w:rsidRPr="00155BC8" w:rsidRDefault="00F65C15" w:rsidP="00C96510">
      <w:pPr>
        <w:pStyle w:val="Heading1"/>
        <w:jc w:val="center"/>
        <w:rPr>
          <w:sz w:val="24"/>
          <w:szCs w:val="24"/>
        </w:rPr>
      </w:pPr>
      <w:r w:rsidRPr="00155BC8">
        <w:rPr>
          <w:sz w:val="24"/>
          <w:szCs w:val="24"/>
        </w:rPr>
        <w:t>Зіставність</w:t>
      </w:r>
    </w:p>
    <w:p w:rsidR="00F65C15" w:rsidRPr="00155BC8" w:rsidRDefault="00F65C15" w:rsidP="00C96510">
      <w:pPr>
        <w:pStyle w:val="NormalWeb"/>
        <w:spacing w:before="0" w:beforeAutospacing="0" w:after="0" w:afterAutospacing="0"/>
      </w:pPr>
      <w:r w:rsidRPr="00155BC8">
        <w:t>У порівнянні з попередніми публікаціями, тут має місце невелике переривання, оскільки в 2004 році та надалі використовувалися інші джерела.</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Зіставність - географічна</w:t>
      </w:r>
    </w:p>
    <w:p w:rsidR="00F65C15" w:rsidRPr="00155BC8" w:rsidRDefault="00F65C15" w:rsidP="00C96510">
      <w:pPr>
        <w:pStyle w:val="NormalWeb"/>
        <w:spacing w:before="0" w:beforeAutospacing="0" w:after="0" w:afterAutospacing="0"/>
      </w:pPr>
      <w:r w:rsidRPr="00155BC8">
        <w:t>Щороку цифри подаються до статистичного управління ЄС, Євро</w:t>
      </w:r>
      <w:r>
        <w:t>с</w:t>
      </w:r>
      <w:r w:rsidRPr="00155BC8">
        <w:t xml:space="preserve">тату. Це включає спеціальні агрегати в промисловості, що не публікуються на національному рівні. Дані з усіх країн ЄС можна знайти в </w:t>
      </w:r>
      <w:hyperlink r:id="rId8" w:history="1">
        <w:r w:rsidRPr="00155BC8">
          <w:rPr>
            <w:rStyle w:val="Hyperlink"/>
          </w:rPr>
          <w:t>Базі даних Євростату</w:t>
        </w:r>
      </w:hyperlink>
      <w:r w:rsidRPr="00155BC8">
        <w:t>. Статистична інформація виробляється за принципами законодавства ЄС, отже, результати є зіставними.</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Зіставність - часова</w:t>
      </w:r>
    </w:p>
    <w:p w:rsidR="00F65C15" w:rsidRPr="00155BC8" w:rsidRDefault="00F65C15" w:rsidP="00C96510">
      <w:pPr>
        <w:pStyle w:val="NormalWeb"/>
        <w:spacing w:before="0" w:beforeAutospacing="0" w:after="0" w:afterAutospacing="0"/>
      </w:pPr>
      <w:r w:rsidRPr="00155BC8">
        <w:t>У порівнянні з попередніми публікаціями, тут має місце невелике переривання, оскільки в 2004 році та надалі використовувалися інші джерела.</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Узгодженість – за доменами</w:t>
      </w:r>
    </w:p>
    <w:p w:rsidR="00F65C15" w:rsidRPr="00155BC8" w:rsidRDefault="00F65C15" w:rsidP="00C96510">
      <w:pPr>
        <w:pStyle w:val="NormalWeb"/>
        <w:spacing w:before="0" w:beforeAutospacing="0" w:after="0" w:afterAutospacing="0"/>
      </w:pPr>
      <w:r w:rsidRPr="00155BC8">
        <w:t xml:space="preserve">Статистика підприємств, що перебувають під іноземним контролем, доповнюється загальною статистикою підприємств.  </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Узгодженість - внутрішня</w:t>
      </w:r>
    </w:p>
    <w:p w:rsidR="00F65C15" w:rsidRPr="00155BC8" w:rsidRDefault="00F65C15" w:rsidP="00C96510">
      <w:pPr>
        <w:pStyle w:val="NormalWeb"/>
        <w:spacing w:before="0" w:beforeAutospacing="0" w:after="0" w:afterAutospacing="0"/>
      </w:pPr>
      <w:r w:rsidRPr="00155BC8">
        <w:t>Не застосовується для цієї області статистики.</w:t>
      </w:r>
    </w:p>
    <w:p w:rsidR="00F65C15" w:rsidRPr="00155BC8" w:rsidRDefault="00F65C15" w:rsidP="00C96510">
      <w:pPr>
        <w:pStyle w:val="Heading1"/>
        <w:jc w:val="center"/>
        <w:rPr>
          <w:sz w:val="24"/>
          <w:szCs w:val="24"/>
        </w:rPr>
      </w:pPr>
      <w:r w:rsidRPr="00155BC8">
        <w:rPr>
          <w:sz w:val="24"/>
          <w:szCs w:val="24"/>
        </w:rPr>
        <w:t>Доступність та зрозумілість</w:t>
      </w:r>
    </w:p>
    <w:p w:rsidR="00F65C15" w:rsidRPr="00155BC8" w:rsidRDefault="00F65C15" w:rsidP="00C96510">
      <w:pPr>
        <w:pStyle w:val="NormalWeb"/>
        <w:spacing w:before="0" w:beforeAutospacing="0" w:after="0" w:afterAutospacing="0"/>
      </w:pPr>
      <w:r w:rsidRPr="00155BC8">
        <w:t xml:space="preserve">Статистичні дані публікуються в </w:t>
      </w:r>
      <w:hyperlink r:id="rId9" w:history="1">
        <w:r w:rsidRPr="00155BC8">
          <w:rPr>
            <w:rStyle w:val="Hyperlink"/>
          </w:rPr>
          <w:t xml:space="preserve">NYT від Служби статистики Данії, датською </w:t>
        </w:r>
      </w:hyperlink>
      <w:r w:rsidRPr="00155BC8">
        <w:t xml:space="preserve">мовою та </w:t>
      </w:r>
      <w:hyperlink r:id="rId10" w:history="1">
        <w:r w:rsidRPr="00155BC8">
          <w:rPr>
            <w:rStyle w:val="Hyperlink"/>
          </w:rPr>
          <w:t>Statbank Denmark</w:t>
        </w:r>
      </w:hyperlink>
      <w:r w:rsidRPr="00155BC8">
        <w:t xml:space="preserve">. Резюме публікацій надаються в </w:t>
      </w:r>
      <w:hyperlink r:id="rId11" w:history="1">
        <w:r w:rsidRPr="00155BC8">
          <w:rPr>
            <w:rStyle w:val="Hyperlink"/>
          </w:rPr>
          <w:t>Статистичному щорічнику</w:t>
        </w:r>
      </w:hyperlink>
      <w:r w:rsidRPr="00155BC8">
        <w:t xml:space="preserve"> та в </w:t>
      </w:r>
      <w:r w:rsidRPr="00155BC8">
        <w:rPr>
          <w:rStyle w:val="Emphasis"/>
        </w:rPr>
        <w:t>Статистичному десятирічному огляді</w:t>
      </w:r>
      <w:r w:rsidRPr="00155BC8">
        <w:t>.</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Календар випуску</w:t>
      </w:r>
    </w:p>
    <w:p w:rsidR="00F65C15" w:rsidRPr="00155BC8" w:rsidRDefault="00F65C15" w:rsidP="00C96510">
      <w:pPr>
        <w:pStyle w:val="NormalWeb"/>
        <w:spacing w:before="0" w:beforeAutospacing="0" w:after="0" w:afterAutospacing="0"/>
      </w:pPr>
      <w:r w:rsidRPr="00155BC8">
        <w:t>Дата публікації з’являється у Календарі випуску. Дата підтверджується декількома тижнями раніше.</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Доступ до календаря випуску</w:t>
      </w:r>
    </w:p>
    <w:p w:rsidR="00F65C15" w:rsidRPr="00155BC8" w:rsidRDefault="00F65C15" w:rsidP="00C96510">
      <w:pPr>
        <w:pStyle w:val="NormalWeb"/>
        <w:spacing w:before="0" w:beforeAutospacing="0" w:after="0" w:afterAutospacing="0"/>
      </w:pPr>
      <w:r w:rsidRPr="00155BC8">
        <w:t xml:space="preserve">Доступ до Календаря випуску можна отримати на англомовній версії нашого сайту: </w:t>
      </w:r>
      <w:hyperlink r:id="rId12" w:history="1">
        <w:r w:rsidRPr="00155BC8">
          <w:rPr>
            <w:rStyle w:val="Hyperlink"/>
          </w:rPr>
          <w:t>Release Calendar</w:t>
        </w:r>
      </w:hyperlink>
      <w:r w:rsidRPr="00155BC8">
        <w:t xml:space="preserve"> (Календар випуску.</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Доступ користувачів</w:t>
      </w:r>
    </w:p>
    <w:p w:rsidR="00F65C15" w:rsidRPr="00155BC8" w:rsidRDefault="00F65C15" w:rsidP="00C96510">
      <w:pPr>
        <w:pStyle w:val="NormalWeb"/>
        <w:spacing w:before="0" w:beforeAutospacing="0" w:after="0" w:afterAutospacing="0"/>
      </w:pPr>
      <w:r w:rsidRPr="00155BC8">
        <w:t>Статистичні дані завжди публікуються на 9:00 ранку дня, оголошеного в Календарі випуску. Ніхто за межами Служби статистики  Данії не може отримати доступ до статичних даних перед тим, як вони опубліковані. Тематичні публікації тощо можуть з’являтися в інші години того самого дня. Національний статистик може приймати рішення щодо випуску таких публікацій до часу їхньої офіційної опублікування, наприклад, для ЗМІ та інших зацікавлених сторін.</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Випуск новин</w:t>
      </w:r>
    </w:p>
    <w:p w:rsidR="00F65C15" w:rsidRPr="00155BC8" w:rsidRDefault="00F65C15" w:rsidP="00C96510">
      <w:pPr>
        <w:pStyle w:val="NormalWeb"/>
        <w:spacing w:before="0" w:beforeAutospacing="0" w:after="0" w:afterAutospacing="0"/>
      </w:pPr>
      <w:r w:rsidRPr="00155BC8">
        <w:t xml:space="preserve">Статистичні цифри публікуються у щорічному випуску новин, </w:t>
      </w:r>
      <w:hyperlink r:id="rId13" w:history="1">
        <w:r w:rsidRPr="00155BC8">
          <w:rPr>
            <w:rStyle w:val="Hyperlink"/>
          </w:rPr>
          <w:t>NYT від Служби статистики Данії, датською мовою</w:t>
        </w:r>
      </w:hyperlink>
      <w:r w:rsidRPr="00155BC8">
        <w:t>.</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Публікації</w:t>
      </w:r>
    </w:p>
    <w:p w:rsidR="00F65C15" w:rsidRPr="00155BC8" w:rsidRDefault="00F65C15" w:rsidP="00C96510">
      <w:pPr>
        <w:pStyle w:val="NormalWeb"/>
        <w:spacing w:before="0" w:beforeAutospacing="0" w:after="0" w:afterAutospacing="0"/>
      </w:pPr>
      <w:r w:rsidRPr="00155BC8">
        <w:t xml:space="preserve">Резюме подаються в </w:t>
      </w:r>
      <w:hyperlink r:id="rId14" w:history="1">
        <w:r w:rsidRPr="00155BC8">
          <w:rPr>
            <w:rStyle w:val="Hyperlink"/>
          </w:rPr>
          <w:t>Статистичному щорічнику</w:t>
        </w:r>
      </w:hyperlink>
      <w:r w:rsidRPr="00155BC8">
        <w:t xml:space="preserve"> та в </w:t>
      </w:r>
      <w:r w:rsidRPr="00155BC8">
        <w:rPr>
          <w:rStyle w:val="Emphasis"/>
          <w:i w:val="0"/>
        </w:rPr>
        <w:t>Статистичному десятирічному огляді</w:t>
      </w:r>
      <w:r w:rsidRPr="00155BC8">
        <w:t>.</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База даних «он-лайн»</w:t>
      </w:r>
    </w:p>
    <w:p w:rsidR="00F65C15" w:rsidRPr="00155BC8" w:rsidRDefault="00F65C15" w:rsidP="00C96510">
      <w:pPr>
        <w:pStyle w:val="NormalWeb"/>
        <w:spacing w:before="0" w:beforeAutospacing="0" w:after="0" w:afterAutospacing="0"/>
      </w:pPr>
      <w:r w:rsidRPr="00155BC8">
        <w:t xml:space="preserve">Статистика рахунків доступна в </w:t>
      </w:r>
      <w:hyperlink r:id="rId15" w:history="1">
        <w:r w:rsidRPr="00155BC8">
          <w:rPr>
            <w:rStyle w:val="Hyperlink"/>
          </w:rPr>
          <w:t>Statbank Denmark</w:t>
        </w:r>
      </w:hyperlink>
      <w:r w:rsidRPr="00155BC8">
        <w:t>.</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Доступ до бази даних</w:t>
      </w:r>
    </w:p>
    <w:p w:rsidR="00F65C15" w:rsidRPr="00155BC8" w:rsidRDefault="00F65C15" w:rsidP="00C96510">
      <w:pPr>
        <w:pStyle w:val="NormalWeb"/>
        <w:spacing w:before="0" w:beforeAutospacing="0" w:after="0" w:afterAutospacing="0"/>
      </w:pPr>
      <w:r w:rsidRPr="00155BC8">
        <w:t xml:space="preserve">Дані обстеження організовуються в щорічні файли, що складають повний набір пунктів для кожного окремого комерційного підприємства. Файли обстеження можуть легко надавати альтернативні розбивки та таблиці, на додаток до вже опублікованих.  </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Інше</w:t>
      </w:r>
    </w:p>
    <w:p w:rsidR="00F65C15" w:rsidRPr="00155BC8" w:rsidRDefault="00F65C15" w:rsidP="00C96510">
      <w:pPr>
        <w:pStyle w:val="NormalWeb"/>
        <w:spacing w:before="0" w:beforeAutospacing="0" w:after="0" w:afterAutospacing="0"/>
      </w:pPr>
      <w:r w:rsidRPr="00155BC8">
        <w:t>Дані обстеження організовуються в щорічні файли, що складають повний набір пунктів для кожного окремого комерційного підприємства. Файли обстеження можуть легко надавати альтернативні розбивки та таблиці, на додаток до вже опублікованих.</w:t>
      </w: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Конфіденційність - політика</w:t>
      </w:r>
    </w:p>
    <w:p w:rsidR="00F65C15" w:rsidRPr="00155BC8" w:rsidRDefault="00F65C15" w:rsidP="00C96510">
      <w:pPr>
        <w:pStyle w:val="NormalWeb"/>
        <w:spacing w:before="0" w:beforeAutospacing="0" w:after="0" w:afterAutospacing="0"/>
      </w:pPr>
      <w:r w:rsidRPr="00155BC8">
        <w:t xml:space="preserve">Щодо дотримання політики конфіденційності Статистики Данії, пройдіть за </w:t>
      </w:r>
      <w:hyperlink r:id="rId16" w:history="1">
        <w:r w:rsidRPr="00155BC8">
          <w:rPr>
            <w:rStyle w:val="Hyperlink"/>
          </w:rPr>
          <w:t>'link, датською мовою'</w:t>
        </w:r>
      </w:hyperlink>
      <w:r w:rsidRPr="00155BC8">
        <w:t>.</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Конфіденційність – обробка даних</w:t>
      </w:r>
    </w:p>
    <w:p w:rsidR="00F65C15" w:rsidRPr="00155BC8" w:rsidRDefault="00F65C15" w:rsidP="00C96510">
      <w:pPr>
        <w:pStyle w:val="NormalWeb"/>
        <w:spacing w:before="0" w:beforeAutospacing="0" w:after="0" w:afterAutospacing="0"/>
      </w:pPr>
      <w:r w:rsidRPr="00155BC8">
        <w:t xml:space="preserve">Щодо дотримання політики конфіденційності Статистики Данії, пройдіть за </w:t>
      </w:r>
      <w:hyperlink r:id="rId17" w:history="1">
        <w:r w:rsidRPr="00155BC8">
          <w:rPr>
            <w:rStyle w:val="Hyperlink"/>
          </w:rPr>
          <w:t>'link, датською мовою'</w:t>
        </w:r>
      </w:hyperlink>
      <w:r w:rsidRPr="00155BC8">
        <w:t>.</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Документація з методології</w:t>
      </w:r>
    </w:p>
    <w:p w:rsidR="00F65C15" w:rsidRPr="00155BC8" w:rsidRDefault="00F65C15" w:rsidP="00C96510">
      <w:pPr>
        <w:pStyle w:val="NormalWeb"/>
        <w:spacing w:before="0" w:beforeAutospacing="0" w:after="0" w:afterAutospacing="0"/>
      </w:pPr>
      <w:r w:rsidRPr="00155BC8">
        <w:t>Не наявна.</w:t>
      </w:r>
    </w:p>
    <w:p w:rsidR="00F65C15" w:rsidRPr="00155BC8" w:rsidRDefault="00F65C15" w:rsidP="00C96510">
      <w:pPr>
        <w:pStyle w:val="Heading2"/>
        <w:spacing w:before="0" w:line="240" w:lineRule="auto"/>
        <w:rPr>
          <w:rFonts w:ascii="Times New Roman" w:hAnsi="Times New Roman"/>
          <w:sz w:val="24"/>
          <w:szCs w:val="24"/>
        </w:rPr>
      </w:pPr>
    </w:p>
    <w:p w:rsidR="00F65C15" w:rsidRPr="00155BC8" w:rsidRDefault="00F65C15" w:rsidP="00C96510">
      <w:pPr>
        <w:pStyle w:val="Heading2"/>
        <w:spacing w:before="0" w:line="240" w:lineRule="auto"/>
        <w:rPr>
          <w:rFonts w:ascii="Times New Roman" w:hAnsi="Times New Roman"/>
          <w:sz w:val="24"/>
          <w:szCs w:val="24"/>
        </w:rPr>
      </w:pPr>
      <w:r w:rsidRPr="00155BC8">
        <w:rPr>
          <w:rFonts w:ascii="Times New Roman" w:hAnsi="Times New Roman"/>
          <w:sz w:val="24"/>
          <w:szCs w:val="24"/>
        </w:rPr>
        <w:t>Документування якості</w:t>
      </w:r>
    </w:p>
    <w:p w:rsidR="00F65C15" w:rsidRPr="00155BC8" w:rsidRDefault="00F65C15" w:rsidP="00C96510">
      <w:pPr>
        <w:pStyle w:val="NormalWeb"/>
        <w:spacing w:before="0" w:beforeAutospacing="0" w:after="0" w:afterAutospacing="0"/>
      </w:pPr>
      <w:r w:rsidRPr="00155BC8">
        <w:t>Звіти за результатами оцінки якості продукції та процесів будуть доступні в деталях для конкретної області статистики та в підсумкових звітах для Наглядової ради з питань якості.</w:t>
      </w:r>
    </w:p>
    <w:p w:rsidR="00F65C15" w:rsidRPr="00155BC8" w:rsidRDefault="00F65C15" w:rsidP="00C96510">
      <w:pPr>
        <w:spacing w:after="0" w:line="240" w:lineRule="auto"/>
        <w:outlineLvl w:val="0"/>
        <w:rPr>
          <w:rFonts w:ascii="Times New Roman" w:hAnsi="Times New Roman"/>
          <w:b/>
          <w:bCs/>
          <w:kern w:val="36"/>
          <w:sz w:val="24"/>
          <w:szCs w:val="24"/>
          <w:lang w:eastAsia="uk-UA"/>
        </w:rPr>
      </w:pPr>
    </w:p>
    <w:p w:rsidR="00F65C15" w:rsidRPr="00155BC8" w:rsidRDefault="00F65C15">
      <w:pPr>
        <w:rPr>
          <w:rFonts w:ascii="Times New Roman" w:hAnsi="Times New Roman"/>
          <w:sz w:val="24"/>
          <w:szCs w:val="24"/>
        </w:rPr>
      </w:pPr>
    </w:p>
    <w:sectPr w:rsidR="00F65C15" w:rsidRPr="00155BC8" w:rsidSect="00A00A49">
      <w:pgSz w:w="11906" w:h="16838"/>
      <w:pgMar w:top="851" w:right="566"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libri Light">
    <w:altName w:val="Calibri"/>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D52CA"/>
    <w:multiLevelType w:val="multilevel"/>
    <w:tmpl w:val="D23E480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9654D"/>
    <w:rsid w:val="00155BC8"/>
    <w:rsid w:val="0023247A"/>
    <w:rsid w:val="00246612"/>
    <w:rsid w:val="0029527B"/>
    <w:rsid w:val="0032060D"/>
    <w:rsid w:val="003714E5"/>
    <w:rsid w:val="003A0E96"/>
    <w:rsid w:val="00462325"/>
    <w:rsid w:val="004D2710"/>
    <w:rsid w:val="004D4DAF"/>
    <w:rsid w:val="004E1222"/>
    <w:rsid w:val="005148C6"/>
    <w:rsid w:val="00590CCA"/>
    <w:rsid w:val="0059654D"/>
    <w:rsid w:val="006C5F00"/>
    <w:rsid w:val="006D7C82"/>
    <w:rsid w:val="006F12AA"/>
    <w:rsid w:val="00741505"/>
    <w:rsid w:val="007A1B09"/>
    <w:rsid w:val="007A25C3"/>
    <w:rsid w:val="00831842"/>
    <w:rsid w:val="009143B4"/>
    <w:rsid w:val="0098269E"/>
    <w:rsid w:val="00A00A49"/>
    <w:rsid w:val="00A61057"/>
    <w:rsid w:val="00B57701"/>
    <w:rsid w:val="00BE07E3"/>
    <w:rsid w:val="00C22D85"/>
    <w:rsid w:val="00C7326C"/>
    <w:rsid w:val="00C96510"/>
    <w:rsid w:val="00CD5524"/>
    <w:rsid w:val="00E40BBA"/>
    <w:rsid w:val="00E53C8F"/>
    <w:rsid w:val="00E74C06"/>
    <w:rsid w:val="00F36D46"/>
    <w:rsid w:val="00F403D9"/>
    <w:rsid w:val="00F65C1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60D"/>
    <w:pPr>
      <w:spacing w:after="160" w:line="259" w:lineRule="auto"/>
    </w:pPr>
    <w:rPr>
      <w:lang w:val="uk-UA" w:eastAsia="en-US"/>
    </w:rPr>
  </w:style>
  <w:style w:type="paragraph" w:styleId="Heading1">
    <w:name w:val="heading 1"/>
    <w:basedOn w:val="Normal"/>
    <w:link w:val="Heading1Char"/>
    <w:uiPriority w:val="99"/>
    <w:qFormat/>
    <w:rsid w:val="0059654D"/>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Heading2">
    <w:name w:val="heading 2"/>
    <w:basedOn w:val="Normal"/>
    <w:next w:val="Normal"/>
    <w:link w:val="Heading2Char"/>
    <w:uiPriority w:val="99"/>
    <w:qFormat/>
    <w:rsid w:val="00E40BBA"/>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9654D"/>
    <w:rPr>
      <w:rFonts w:ascii="Times New Roman" w:hAnsi="Times New Roman" w:cs="Times New Roman"/>
      <w:b/>
      <w:bCs/>
      <w:kern w:val="36"/>
      <w:sz w:val="48"/>
      <w:szCs w:val="48"/>
      <w:lang w:eastAsia="uk-UA"/>
    </w:rPr>
  </w:style>
  <w:style w:type="character" w:customStyle="1" w:styleId="Heading2Char">
    <w:name w:val="Heading 2 Char"/>
    <w:basedOn w:val="DefaultParagraphFont"/>
    <w:link w:val="Heading2"/>
    <w:uiPriority w:val="99"/>
    <w:semiHidden/>
    <w:locked/>
    <w:rsid w:val="00E40BBA"/>
    <w:rPr>
      <w:rFonts w:ascii="Calibri Light" w:hAnsi="Calibri Light" w:cs="Times New Roman"/>
      <w:color w:val="2E74B5"/>
      <w:sz w:val="26"/>
      <w:szCs w:val="26"/>
    </w:rPr>
  </w:style>
  <w:style w:type="paragraph" w:styleId="NormalWeb">
    <w:name w:val="Normal (Web)"/>
    <w:basedOn w:val="Normal"/>
    <w:uiPriority w:val="99"/>
    <w:semiHidden/>
    <w:rsid w:val="00E40BBA"/>
    <w:pPr>
      <w:spacing w:before="100" w:beforeAutospacing="1" w:after="100" w:afterAutospacing="1" w:line="240" w:lineRule="auto"/>
    </w:pPr>
    <w:rPr>
      <w:rFonts w:ascii="Times New Roman" w:eastAsia="Times New Roman" w:hAnsi="Times New Roman"/>
      <w:sz w:val="24"/>
      <w:szCs w:val="24"/>
      <w:lang w:eastAsia="uk-UA"/>
    </w:rPr>
  </w:style>
  <w:style w:type="character" w:styleId="Strong">
    <w:name w:val="Strong"/>
    <w:basedOn w:val="DefaultParagraphFont"/>
    <w:uiPriority w:val="99"/>
    <w:qFormat/>
    <w:rsid w:val="00E40BBA"/>
    <w:rPr>
      <w:rFonts w:cs="Times New Roman"/>
      <w:b/>
      <w:bCs/>
    </w:rPr>
  </w:style>
  <w:style w:type="character" w:styleId="Hyperlink">
    <w:name w:val="Hyperlink"/>
    <w:basedOn w:val="DefaultParagraphFont"/>
    <w:uiPriority w:val="99"/>
    <w:semiHidden/>
    <w:rsid w:val="00E40BBA"/>
    <w:rPr>
      <w:rFonts w:cs="Times New Roman"/>
      <w:color w:val="0000FF"/>
      <w:u w:val="single"/>
    </w:rPr>
  </w:style>
  <w:style w:type="character" w:styleId="Emphasis">
    <w:name w:val="Emphasis"/>
    <w:basedOn w:val="DefaultParagraphFont"/>
    <w:uiPriority w:val="99"/>
    <w:qFormat/>
    <w:rsid w:val="00C96510"/>
    <w:rPr>
      <w:rFonts w:cs="Times New Roman"/>
      <w:i/>
      <w:iCs/>
    </w:rPr>
  </w:style>
</w:styles>
</file>

<file path=word/webSettings.xml><?xml version="1.0" encoding="utf-8"?>
<w:webSettings xmlns:r="http://schemas.openxmlformats.org/officeDocument/2006/relationships" xmlns:w="http://schemas.openxmlformats.org/wordprocessingml/2006/main">
  <w:divs>
    <w:div w:id="1766531259">
      <w:marLeft w:val="0"/>
      <w:marRight w:val="0"/>
      <w:marTop w:val="0"/>
      <w:marBottom w:val="0"/>
      <w:divBdr>
        <w:top w:val="none" w:sz="0" w:space="0" w:color="auto"/>
        <w:left w:val="none" w:sz="0" w:space="0" w:color="auto"/>
        <w:bottom w:val="none" w:sz="0" w:space="0" w:color="auto"/>
        <w:right w:val="none" w:sz="0" w:space="0" w:color="auto"/>
      </w:divBdr>
    </w:div>
    <w:div w:id="1766531261">
      <w:marLeft w:val="0"/>
      <w:marRight w:val="0"/>
      <w:marTop w:val="0"/>
      <w:marBottom w:val="0"/>
      <w:divBdr>
        <w:top w:val="none" w:sz="0" w:space="0" w:color="auto"/>
        <w:left w:val="none" w:sz="0" w:space="0" w:color="auto"/>
        <w:bottom w:val="none" w:sz="0" w:space="0" w:color="auto"/>
        <w:right w:val="none" w:sz="0" w:space="0" w:color="auto"/>
      </w:divBdr>
      <w:divsChild>
        <w:div w:id="1766531260">
          <w:marLeft w:val="0"/>
          <w:marRight w:val="0"/>
          <w:marTop w:val="0"/>
          <w:marBottom w:val="0"/>
          <w:divBdr>
            <w:top w:val="none" w:sz="0" w:space="0" w:color="auto"/>
            <w:left w:val="none" w:sz="0" w:space="0" w:color="auto"/>
            <w:bottom w:val="none" w:sz="0" w:space="0" w:color="auto"/>
            <w:right w:val="none" w:sz="0" w:space="0" w:color="auto"/>
          </w:divBdr>
        </w:div>
      </w:divsChild>
    </w:div>
    <w:div w:id="1766531262">
      <w:marLeft w:val="0"/>
      <w:marRight w:val="0"/>
      <w:marTop w:val="0"/>
      <w:marBottom w:val="0"/>
      <w:divBdr>
        <w:top w:val="none" w:sz="0" w:space="0" w:color="auto"/>
        <w:left w:val="none" w:sz="0" w:space="0" w:color="auto"/>
        <w:bottom w:val="none" w:sz="0" w:space="0" w:color="auto"/>
        <w:right w:val="none" w:sz="0" w:space="0" w:color="auto"/>
      </w:divBdr>
    </w:div>
    <w:div w:id="1766531265">
      <w:marLeft w:val="0"/>
      <w:marRight w:val="0"/>
      <w:marTop w:val="0"/>
      <w:marBottom w:val="0"/>
      <w:divBdr>
        <w:top w:val="none" w:sz="0" w:space="0" w:color="auto"/>
        <w:left w:val="none" w:sz="0" w:space="0" w:color="auto"/>
        <w:bottom w:val="none" w:sz="0" w:space="0" w:color="auto"/>
        <w:right w:val="none" w:sz="0" w:space="0" w:color="auto"/>
      </w:divBdr>
    </w:div>
    <w:div w:id="1766531266">
      <w:marLeft w:val="0"/>
      <w:marRight w:val="0"/>
      <w:marTop w:val="0"/>
      <w:marBottom w:val="0"/>
      <w:divBdr>
        <w:top w:val="none" w:sz="0" w:space="0" w:color="auto"/>
        <w:left w:val="none" w:sz="0" w:space="0" w:color="auto"/>
        <w:bottom w:val="none" w:sz="0" w:space="0" w:color="auto"/>
        <w:right w:val="none" w:sz="0" w:space="0" w:color="auto"/>
      </w:divBdr>
    </w:div>
    <w:div w:id="1766531267">
      <w:marLeft w:val="0"/>
      <w:marRight w:val="0"/>
      <w:marTop w:val="0"/>
      <w:marBottom w:val="0"/>
      <w:divBdr>
        <w:top w:val="none" w:sz="0" w:space="0" w:color="auto"/>
        <w:left w:val="none" w:sz="0" w:space="0" w:color="auto"/>
        <w:bottom w:val="none" w:sz="0" w:space="0" w:color="auto"/>
        <w:right w:val="none" w:sz="0" w:space="0" w:color="auto"/>
      </w:divBdr>
      <w:divsChild>
        <w:div w:id="1766531276">
          <w:marLeft w:val="0"/>
          <w:marRight w:val="0"/>
          <w:marTop w:val="0"/>
          <w:marBottom w:val="0"/>
          <w:divBdr>
            <w:top w:val="none" w:sz="0" w:space="0" w:color="auto"/>
            <w:left w:val="none" w:sz="0" w:space="0" w:color="auto"/>
            <w:bottom w:val="none" w:sz="0" w:space="0" w:color="auto"/>
            <w:right w:val="none" w:sz="0" w:space="0" w:color="auto"/>
          </w:divBdr>
        </w:div>
      </w:divsChild>
    </w:div>
    <w:div w:id="1766531268">
      <w:marLeft w:val="0"/>
      <w:marRight w:val="0"/>
      <w:marTop w:val="0"/>
      <w:marBottom w:val="0"/>
      <w:divBdr>
        <w:top w:val="none" w:sz="0" w:space="0" w:color="auto"/>
        <w:left w:val="none" w:sz="0" w:space="0" w:color="auto"/>
        <w:bottom w:val="none" w:sz="0" w:space="0" w:color="auto"/>
        <w:right w:val="none" w:sz="0" w:space="0" w:color="auto"/>
      </w:divBdr>
      <w:divsChild>
        <w:div w:id="1766531274">
          <w:marLeft w:val="0"/>
          <w:marRight w:val="0"/>
          <w:marTop w:val="0"/>
          <w:marBottom w:val="0"/>
          <w:divBdr>
            <w:top w:val="none" w:sz="0" w:space="0" w:color="auto"/>
            <w:left w:val="none" w:sz="0" w:space="0" w:color="auto"/>
            <w:bottom w:val="none" w:sz="0" w:space="0" w:color="auto"/>
            <w:right w:val="none" w:sz="0" w:space="0" w:color="auto"/>
          </w:divBdr>
        </w:div>
      </w:divsChild>
    </w:div>
    <w:div w:id="1766531269">
      <w:marLeft w:val="0"/>
      <w:marRight w:val="0"/>
      <w:marTop w:val="0"/>
      <w:marBottom w:val="0"/>
      <w:divBdr>
        <w:top w:val="none" w:sz="0" w:space="0" w:color="auto"/>
        <w:left w:val="none" w:sz="0" w:space="0" w:color="auto"/>
        <w:bottom w:val="none" w:sz="0" w:space="0" w:color="auto"/>
        <w:right w:val="none" w:sz="0" w:space="0" w:color="auto"/>
      </w:divBdr>
      <w:divsChild>
        <w:div w:id="1766531263">
          <w:marLeft w:val="0"/>
          <w:marRight w:val="0"/>
          <w:marTop w:val="0"/>
          <w:marBottom w:val="0"/>
          <w:divBdr>
            <w:top w:val="none" w:sz="0" w:space="0" w:color="auto"/>
            <w:left w:val="none" w:sz="0" w:space="0" w:color="auto"/>
            <w:bottom w:val="none" w:sz="0" w:space="0" w:color="auto"/>
            <w:right w:val="none" w:sz="0" w:space="0" w:color="auto"/>
          </w:divBdr>
        </w:div>
      </w:divsChild>
    </w:div>
    <w:div w:id="1766531270">
      <w:marLeft w:val="0"/>
      <w:marRight w:val="0"/>
      <w:marTop w:val="0"/>
      <w:marBottom w:val="0"/>
      <w:divBdr>
        <w:top w:val="none" w:sz="0" w:space="0" w:color="auto"/>
        <w:left w:val="none" w:sz="0" w:space="0" w:color="auto"/>
        <w:bottom w:val="none" w:sz="0" w:space="0" w:color="auto"/>
        <w:right w:val="none" w:sz="0" w:space="0" w:color="auto"/>
      </w:divBdr>
      <w:divsChild>
        <w:div w:id="1766531273">
          <w:marLeft w:val="0"/>
          <w:marRight w:val="0"/>
          <w:marTop w:val="0"/>
          <w:marBottom w:val="0"/>
          <w:divBdr>
            <w:top w:val="none" w:sz="0" w:space="0" w:color="auto"/>
            <w:left w:val="none" w:sz="0" w:space="0" w:color="auto"/>
            <w:bottom w:val="none" w:sz="0" w:space="0" w:color="auto"/>
            <w:right w:val="none" w:sz="0" w:space="0" w:color="auto"/>
          </w:divBdr>
        </w:div>
      </w:divsChild>
    </w:div>
    <w:div w:id="1766531271">
      <w:marLeft w:val="0"/>
      <w:marRight w:val="0"/>
      <w:marTop w:val="0"/>
      <w:marBottom w:val="0"/>
      <w:divBdr>
        <w:top w:val="none" w:sz="0" w:space="0" w:color="auto"/>
        <w:left w:val="none" w:sz="0" w:space="0" w:color="auto"/>
        <w:bottom w:val="none" w:sz="0" w:space="0" w:color="auto"/>
        <w:right w:val="none" w:sz="0" w:space="0" w:color="auto"/>
      </w:divBdr>
    </w:div>
    <w:div w:id="1766531272">
      <w:marLeft w:val="0"/>
      <w:marRight w:val="0"/>
      <w:marTop w:val="0"/>
      <w:marBottom w:val="0"/>
      <w:divBdr>
        <w:top w:val="none" w:sz="0" w:space="0" w:color="auto"/>
        <w:left w:val="none" w:sz="0" w:space="0" w:color="auto"/>
        <w:bottom w:val="none" w:sz="0" w:space="0" w:color="auto"/>
        <w:right w:val="none" w:sz="0" w:space="0" w:color="auto"/>
      </w:divBdr>
    </w:div>
    <w:div w:id="1766531275">
      <w:marLeft w:val="0"/>
      <w:marRight w:val="0"/>
      <w:marTop w:val="0"/>
      <w:marBottom w:val="0"/>
      <w:divBdr>
        <w:top w:val="none" w:sz="0" w:space="0" w:color="auto"/>
        <w:left w:val="none" w:sz="0" w:space="0" w:color="auto"/>
        <w:bottom w:val="none" w:sz="0" w:space="0" w:color="auto"/>
        <w:right w:val="none" w:sz="0" w:space="0" w:color="auto"/>
      </w:divBdr>
      <w:divsChild>
        <w:div w:id="1766531279">
          <w:marLeft w:val="0"/>
          <w:marRight w:val="0"/>
          <w:marTop w:val="0"/>
          <w:marBottom w:val="0"/>
          <w:divBdr>
            <w:top w:val="none" w:sz="0" w:space="0" w:color="auto"/>
            <w:left w:val="none" w:sz="0" w:space="0" w:color="auto"/>
            <w:bottom w:val="none" w:sz="0" w:space="0" w:color="auto"/>
            <w:right w:val="none" w:sz="0" w:space="0" w:color="auto"/>
          </w:divBdr>
        </w:div>
      </w:divsChild>
    </w:div>
    <w:div w:id="1766531277">
      <w:marLeft w:val="0"/>
      <w:marRight w:val="0"/>
      <w:marTop w:val="0"/>
      <w:marBottom w:val="0"/>
      <w:divBdr>
        <w:top w:val="none" w:sz="0" w:space="0" w:color="auto"/>
        <w:left w:val="none" w:sz="0" w:space="0" w:color="auto"/>
        <w:bottom w:val="none" w:sz="0" w:space="0" w:color="auto"/>
        <w:right w:val="none" w:sz="0" w:space="0" w:color="auto"/>
      </w:divBdr>
    </w:div>
    <w:div w:id="1766531278">
      <w:marLeft w:val="0"/>
      <w:marRight w:val="0"/>
      <w:marTop w:val="0"/>
      <w:marBottom w:val="0"/>
      <w:divBdr>
        <w:top w:val="none" w:sz="0" w:space="0" w:color="auto"/>
        <w:left w:val="none" w:sz="0" w:space="0" w:color="auto"/>
        <w:bottom w:val="none" w:sz="0" w:space="0" w:color="auto"/>
        <w:right w:val="none" w:sz="0" w:space="0" w:color="auto"/>
      </w:divBdr>
    </w:div>
    <w:div w:id="1766531280">
      <w:marLeft w:val="0"/>
      <w:marRight w:val="0"/>
      <w:marTop w:val="0"/>
      <w:marBottom w:val="0"/>
      <w:divBdr>
        <w:top w:val="none" w:sz="0" w:space="0" w:color="auto"/>
        <w:left w:val="none" w:sz="0" w:space="0" w:color="auto"/>
        <w:bottom w:val="none" w:sz="0" w:space="0" w:color="auto"/>
        <w:right w:val="none" w:sz="0" w:space="0" w:color="auto"/>
      </w:divBdr>
    </w:div>
    <w:div w:id="1766531281">
      <w:marLeft w:val="0"/>
      <w:marRight w:val="0"/>
      <w:marTop w:val="0"/>
      <w:marBottom w:val="0"/>
      <w:divBdr>
        <w:top w:val="none" w:sz="0" w:space="0" w:color="auto"/>
        <w:left w:val="none" w:sz="0" w:space="0" w:color="auto"/>
        <w:bottom w:val="none" w:sz="0" w:space="0" w:color="auto"/>
        <w:right w:val="none" w:sz="0" w:space="0" w:color="auto"/>
      </w:divBdr>
      <w:divsChild>
        <w:div w:id="1766531264">
          <w:marLeft w:val="0"/>
          <w:marRight w:val="0"/>
          <w:marTop w:val="0"/>
          <w:marBottom w:val="0"/>
          <w:divBdr>
            <w:top w:val="none" w:sz="0" w:space="0" w:color="auto"/>
            <w:left w:val="none" w:sz="0" w:space="0" w:color="auto"/>
            <w:bottom w:val="none" w:sz="0" w:space="0" w:color="auto"/>
            <w:right w:val="none" w:sz="0" w:space="0" w:color="auto"/>
          </w:divBdr>
        </w:div>
      </w:divsChild>
    </w:div>
    <w:div w:id="17665312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pp.eurostat.ec.europa.eu/portal/page/portal/european_business/introduction" TargetMode="External"/><Relationship Id="rId13" Type="http://schemas.openxmlformats.org/officeDocument/2006/relationships/hyperlink" Target="http://www.dst.dk/da/statistik/nyt.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st.dk/en/OmDS/strategi-og-kvalitet/revisionspolitik.aspx" TargetMode="External"/><Relationship Id="rId12" Type="http://schemas.openxmlformats.org/officeDocument/2006/relationships/hyperlink" Target="http://www.dst.dk/en/Statistik/offentliggoerelser.aspx" TargetMode="External"/><Relationship Id="rId17" Type="http://schemas.openxmlformats.org/officeDocument/2006/relationships/hyperlink" Target="http://www.dst.dk/ext/292786082/0/Datafortrolighedspolitik-i-Danmarks-Statistik--pdf" TargetMode="External"/><Relationship Id="rId2" Type="http://schemas.openxmlformats.org/officeDocument/2006/relationships/styles" Target="styles.xml"/><Relationship Id="rId16" Type="http://schemas.openxmlformats.org/officeDocument/2006/relationships/hyperlink" Target="http://www.dst.dk/ext/292786082/0/Datafortrolighedspolitik-i-Danmarks-Statistik--pdf" TargetMode="External"/><Relationship Id="rId1" Type="http://schemas.openxmlformats.org/officeDocument/2006/relationships/numbering" Target="numbering.xml"/><Relationship Id="rId6" Type="http://schemas.openxmlformats.org/officeDocument/2006/relationships/hyperlink" Target="http://www.dst.dk/en/Statistik/dokumentation/Nomenklaturer/DB.aspx" TargetMode="External"/><Relationship Id="rId11" Type="http://schemas.openxmlformats.org/officeDocument/2006/relationships/hyperlink" Target="http://www.dst.dk/en/Statistik/Publikationer/VisPub.aspx?cid=17959" TargetMode="External"/><Relationship Id="rId5" Type="http://schemas.openxmlformats.org/officeDocument/2006/relationships/hyperlink" Target="http://www.dst.dk/en/Statistik/dokumentation/declarations/foreign-owned-enterprises" TargetMode="External"/><Relationship Id="rId15" Type="http://schemas.openxmlformats.org/officeDocument/2006/relationships/hyperlink" Target="http://www.dst.dk/en/statistik/nyt/relateret.aspx?psi=1547" TargetMode="External"/><Relationship Id="rId10" Type="http://schemas.openxmlformats.org/officeDocument/2006/relationships/hyperlink" Target="http://www.dst.dk/en/statistik/nyt/relateret.aspx?psi=99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st.dk/da/statistik/nyt.aspx" TargetMode="External"/><Relationship Id="rId14" Type="http://schemas.openxmlformats.org/officeDocument/2006/relationships/hyperlink" Target="http://www.dst.dk/en/Statistik/Publikationer/VisPub.aspx?cid=179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121</TotalTime>
  <Pages>6</Pages>
  <Words>2130</Words>
  <Characters>12142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report IFAT http://www</dc:title>
  <dc:subject/>
  <dc:creator>O.Kolpakova</dc:creator>
  <cp:keywords/>
  <dc:description/>
  <cp:lastModifiedBy>Admin</cp:lastModifiedBy>
  <cp:revision>9</cp:revision>
  <dcterms:created xsi:type="dcterms:W3CDTF">2015-09-11T09:46:00Z</dcterms:created>
  <dcterms:modified xsi:type="dcterms:W3CDTF">2015-09-17T16:00:00Z</dcterms:modified>
</cp:coreProperties>
</file>