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172" w:rsidRPr="000102B7" w:rsidRDefault="00097172" w:rsidP="00097172">
      <w:pPr>
        <w:rPr>
          <w:lang w:val="uk-UA"/>
        </w:rPr>
      </w:pPr>
      <w:bookmarkStart w:id="0" w:name="_GoBack"/>
      <w:bookmarkEnd w:id="0"/>
    </w:p>
    <w:p w:rsidR="000102B7" w:rsidRPr="000102B7" w:rsidRDefault="000102B7" w:rsidP="000102B7">
      <w:pPr>
        <w:pStyle w:val="Titel"/>
      </w:pPr>
      <w:r w:rsidRPr="000102B7">
        <w:t>ПРОЕКТ ТВІННІНГ</w:t>
      </w:r>
    </w:p>
    <w:p w:rsidR="000102B7" w:rsidRPr="000102B7" w:rsidRDefault="000102B7" w:rsidP="000102B7">
      <w:pPr>
        <w:pStyle w:val="Titel"/>
      </w:pPr>
    </w:p>
    <w:p w:rsidR="000102B7" w:rsidRPr="000102B7" w:rsidRDefault="000102B7" w:rsidP="000102B7">
      <w:pPr>
        <w:pStyle w:val="Titel"/>
      </w:pPr>
    </w:p>
    <w:p w:rsidR="000102B7" w:rsidRPr="000102B7" w:rsidRDefault="000102B7" w:rsidP="000102B7">
      <w:pPr>
        <w:pStyle w:val="Titel"/>
      </w:pPr>
    </w:p>
    <w:p w:rsidR="000102B7" w:rsidRPr="000102B7" w:rsidRDefault="000102B7" w:rsidP="000102B7">
      <w:pPr>
        <w:pStyle w:val="Titel"/>
      </w:pPr>
    </w:p>
    <w:p w:rsidR="000102B7" w:rsidRPr="00212740" w:rsidRDefault="000102B7" w:rsidP="000102B7">
      <w:pPr>
        <w:jc w:val="center"/>
        <w:rPr>
          <w:sz w:val="36"/>
          <w:szCs w:val="36"/>
          <w:lang w:val="uk-UA"/>
        </w:rPr>
      </w:pPr>
      <w:r w:rsidRPr="00212740">
        <w:rPr>
          <w:sz w:val="36"/>
          <w:szCs w:val="36"/>
          <w:lang w:val="uk-UA"/>
        </w:rPr>
        <w:t>Сприяння процесам удосконалення Державної Служби Статистики України з метою покращення її потенціалу та продукції</w:t>
      </w:r>
    </w:p>
    <w:p w:rsidR="000102B7" w:rsidRPr="000102B7" w:rsidRDefault="000102B7" w:rsidP="000102B7">
      <w:pPr>
        <w:jc w:val="center"/>
        <w:rPr>
          <w:rFonts w:ascii="Georgia" w:hAnsi="Georgia"/>
          <w:b w:val="0"/>
          <w:snapToGrid w:val="0"/>
          <w:sz w:val="36"/>
          <w:szCs w:val="36"/>
          <w:lang w:eastAsia="en-GB"/>
        </w:rPr>
      </w:pPr>
    </w:p>
    <w:p w:rsidR="000102B7" w:rsidRPr="003E408D" w:rsidRDefault="000102B7" w:rsidP="000102B7">
      <w:pPr>
        <w:tabs>
          <w:tab w:val="left" w:pos="8412"/>
        </w:tabs>
        <w:jc w:val="center"/>
        <w:rPr>
          <w:rFonts w:ascii="Verdana" w:hAnsi="Verdana" w:cs="Verdana"/>
          <w:b w:val="0"/>
          <w:sz w:val="28"/>
          <w:szCs w:val="28"/>
        </w:rPr>
      </w:pPr>
    </w:p>
    <w:p w:rsidR="000102B7" w:rsidRPr="003E408D" w:rsidRDefault="000102B7" w:rsidP="000102B7">
      <w:pPr>
        <w:jc w:val="center"/>
        <w:rPr>
          <w:b w:val="0"/>
          <w:sz w:val="16"/>
        </w:rPr>
      </w:pPr>
    </w:p>
    <w:p w:rsidR="000102B7" w:rsidRPr="003E408D" w:rsidRDefault="000102B7" w:rsidP="000102B7">
      <w:pPr>
        <w:jc w:val="center"/>
        <w:rPr>
          <w:b w:val="0"/>
          <w:sz w:val="16"/>
        </w:rPr>
      </w:pPr>
    </w:p>
    <w:p w:rsidR="000102B7" w:rsidRPr="003E408D" w:rsidRDefault="000102B7" w:rsidP="000102B7">
      <w:pPr>
        <w:jc w:val="center"/>
        <w:rPr>
          <w:b w:val="0"/>
          <w:sz w:val="16"/>
        </w:rPr>
      </w:pPr>
    </w:p>
    <w:p w:rsidR="000102B7" w:rsidRPr="003E408D" w:rsidRDefault="000102B7" w:rsidP="000102B7">
      <w:pPr>
        <w:jc w:val="center"/>
        <w:rPr>
          <w:sz w:val="28"/>
        </w:rPr>
      </w:pPr>
    </w:p>
    <w:p w:rsidR="000102B7" w:rsidRPr="003E408D" w:rsidRDefault="000102B7" w:rsidP="000102B7">
      <w:pPr>
        <w:jc w:val="center"/>
        <w:rPr>
          <w:sz w:val="28"/>
        </w:rPr>
      </w:pPr>
    </w:p>
    <w:p w:rsidR="000102B7" w:rsidRPr="003E408D" w:rsidRDefault="000102B7" w:rsidP="000102B7">
      <w:pPr>
        <w:jc w:val="center"/>
        <w:rPr>
          <w:sz w:val="28"/>
        </w:rPr>
      </w:pPr>
      <w:r>
        <w:rPr>
          <w:noProof/>
          <w:lang w:val="da-DK" w:eastAsia="da-DK"/>
        </w:rPr>
        <w:drawing>
          <wp:anchor distT="0" distB="0" distL="114935" distR="114935" simplePos="0" relativeHeight="251659264" behindDoc="0" locked="0" layoutInCell="1" allowOverlap="1" wp14:anchorId="5136E74F" wp14:editId="42549B17">
            <wp:simplePos x="0" y="0"/>
            <wp:positionH relativeFrom="column">
              <wp:posOffset>2237740</wp:posOffset>
            </wp:positionH>
            <wp:positionV relativeFrom="paragraph">
              <wp:posOffset>-125730</wp:posOffset>
            </wp:positionV>
            <wp:extent cx="1459230" cy="944880"/>
            <wp:effectExtent l="0" t="0" r="7620" b="762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9230" cy="9448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102B7" w:rsidRPr="003E408D" w:rsidRDefault="000102B7" w:rsidP="000102B7">
      <w:pPr>
        <w:jc w:val="center"/>
        <w:rPr>
          <w:sz w:val="28"/>
        </w:rPr>
      </w:pPr>
    </w:p>
    <w:p w:rsidR="000102B7" w:rsidRPr="003E408D" w:rsidRDefault="000102B7" w:rsidP="000102B7">
      <w:pPr>
        <w:jc w:val="center"/>
      </w:pPr>
    </w:p>
    <w:p w:rsidR="000102B7" w:rsidRPr="003E408D" w:rsidRDefault="000102B7" w:rsidP="000102B7">
      <w:pPr>
        <w:jc w:val="center"/>
      </w:pPr>
    </w:p>
    <w:p w:rsidR="000102B7" w:rsidRPr="003E408D" w:rsidRDefault="000102B7" w:rsidP="000102B7">
      <w:pPr>
        <w:jc w:val="center"/>
      </w:pPr>
    </w:p>
    <w:p w:rsidR="00097172" w:rsidRPr="004E1776" w:rsidRDefault="00097172" w:rsidP="000102B7">
      <w:pPr>
        <w:jc w:val="center"/>
        <w:rPr>
          <w:b w:val="0"/>
          <w:lang w:val="uk-UA"/>
        </w:rPr>
      </w:pPr>
    </w:p>
    <w:p w:rsidR="000102B7" w:rsidRDefault="000102B7" w:rsidP="000102B7">
      <w:pPr>
        <w:jc w:val="center"/>
        <w:rPr>
          <w:b w:val="0"/>
          <w:sz w:val="28"/>
          <w:szCs w:val="28"/>
          <w:lang w:val="uk-UA"/>
        </w:rPr>
      </w:pPr>
    </w:p>
    <w:p w:rsidR="000102B7" w:rsidRPr="000102B7" w:rsidRDefault="000102B7" w:rsidP="000102B7">
      <w:pPr>
        <w:jc w:val="center"/>
        <w:rPr>
          <w:sz w:val="28"/>
          <w:szCs w:val="28"/>
          <w:lang w:val="uk-UA"/>
        </w:rPr>
      </w:pPr>
      <w:r w:rsidRPr="000102B7">
        <w:rPr>
          <w:sz w:val="28"/>
          <w:szCs w:val="28"/>
          <w:lang w:val="uk-UA"/>
        </w:rPr>
        <w:t>Звіт</w:t>
      </w:r>
    </w:p>
    <w:p w:rsidR="000102B7" w:rsidRDefault="000102B7" w:rsidP="000102B7">
      <w:pPr>
        <w:jc w:val="center"/>
        <w:rPr>
          <w:b w:val="0"/>
          <w:sz w:val="28"/>
          <w:szCs w:val="28"/>
          <w:lang w:val="uk-UA"/>
        </w:rPr>
      </w:pPr>
    </w:p>
    <w:p w:rsidR="00E71F36" w:rsidRPr="004E1776" w:rsidRDefault="008C48DD" w:rsidP="000102B7">
      <w:pPr>
        <w:jc w:val="center"/>
        <w:rPr>
          <w:b w:val="0"/>
          <w:sz w:val="28"/>
          <w:szCs w:val="28"/>
          <w:lang w:val="uk-UA"/>
        </w:rPr>
      </w:pPr>
      <w:r w:rsidRPr="004E1776">
        <w:rPr>
          <w:b w:val="0"/>
          <w:sz w:val="28"/>
          <w:szCs w:val="28"/>
          <w:lang w:val="uk-UA"/>
        </w:rPr>
        <w:t>представників</w:t>
      </w:r>
      <w:r w:rsidR="001341EF" w:rsidRPr="004E1776">
        <w:rPr>
          <w:b w:val="0"/>
          <w:sz w:val="28"/>
          <w:szCs w:val="28"/>
          <w:lang w:val="uk-UA"/>
        </w:rPr>
        <w:t xml:space="preserve"> </w:t>
      </w:r>
      <w:r w:rsidR="00F56B27" w:rsidRPr="004E1776">
        <w:rPr>
          <w:b w:val="0"/>
          <w:sz w:val="28"/>
          <w:szCs w:val="28"/>
          <w:lang w:val="uk-UA"/>
        </w:rPr>
        <w:t>Держ</w:t>
      </w:r>
      <w:r w:rsidR="00D43033" w:rsidRPr="004E1776">
        <w:rPr>
          <w:b w:val="0"/>
          <w:sz w:val="28"/>
          <w:szCs w:val="28"/>
          <w:lang w:val="uk-UA"/>
        </w:rPr>
        <w:t xml:space="preserve">авної служби </w:t>
      </w:r>
      <w:r w:rsidR="00A2480B" w:rsidRPr="004E1776">
        <w:rPr>
          <w:b w:val="0"/>
          <w:sz w:val="28"/>
          <w:szCs w:val="28"/>
          <w:lang w:val="uk-UA"/>
        </w:rPr>
        <w:t>статистики</w:t>
      </w:r>
      <w:r w:rsidR="00F56B27" w:rsidRPr="004E1776">
        <w:rPr>
          <w:b w:val="0"/>
          <w:sz w:val="28"/>
          <w:szCs w:val="28"/>
          <w:lang w:val="uk-UA"/>
        </w:rPr>
        <w:t xml:space="preserve"> України </w:t>
      </w:r>
      <w:r w:rsidR="001A3169" w:rsidRPr="004E1776">
        <w:rPr>
          <w:b w:val="0"/>
          <w:sz w:val="28"/>
          <w:szCs w:val="28"/>
          <w:lang w:val="uk-UA"/>
        </w:rPr>
        <w:t>про</w:t>
      </w:r>
      <w:r w:rsidR="00F56B27" w:rsidRPr="004E1776">
        <w:rPr>
          <w:b w:val="0"/>
          <w:sz w:val="28"/>
          <w:szCs w:val="28"/>
          <w:lang w:val="uk-UA"/>
        </w:rPr>
        <w:t xml:space="preserve"> участ</w:t>
      </w:r>
      <w:r w:rsidR="001A3169" w:rsidRPr="004E1776">
        <w:rPr>
          <w:b w:val="0"/>
          <w:sz w:val="28"/>
          <w:szCs w:val="28"/>
          <w:lang w:val="uk-UA"/>
        </w:rPr>
        <w:t>ь</w:t>
      </w:r>
    </w:p>
    <w:p w:rsidR="00F56B27" w:rsidRPr="007A20D7" w:rsidRDefault="00F56B27" w:rsidP="000102B7">
      <w:pPr>
        <w:jc w:val="center"/>
        <w:rPr>
          <w:b w:val="0"/>
          <w:sz w:val="28"/>
          <w:szCs w:val="28"/>
          <w:lang w:val="uk-UA"/>
        </w:rPr>
      </w:pPr>
      <w:r w:rsidRPr="004E1776">
        <w:rPr>
          <w:b w:val="0"/>
          <w:sz w:val="28"/>
          <w:szCs w:val="28"/>
          <w:lang w:val="uk-UA"/>
        </w:rPr>
        <w:t>у навчальному візиті</w:t>
      </w:r>
      <w:r w:rsidR="00E71F36" w:rsidRPr="004E1776">
        <w:rPr>
          <w:b w:val="0"/>
          <w:sz w:val="28"/>
          <w:szCs w:val="28"/>
          <w:lang w:val="uk-UA"/>
        </w:rPr>
        <w:t xml:space="preserve"> до </w:t>
      </w:r>
      <w:r w:rsidR="007A20D7">
        <w:rPr>
          <w:b w:val="0"/>
          <w:sz w:val="28"/>
          <w:szCs w:val="28"/>
          <w:lang w:val="uk-UA"/>
        </w:rPr>
        <w:t>Статистичної служби Данії</w:t>
      </w:r>
    </w:p>
    <w:p w:rsidR="000102B7" w:rsidRDefault="000102B7" w:rsidP="000102B7">
      <w:pPr>
        <w:jc w:val="center"/>
        <w:rPr>
          <w:b w:val="0"/>
          <w:sz w:val="28"/>
          <w:szCs w:val="28"/>
          <w:lang w:val="uk-UA"/>
        </w:rPr>
      </w:pPr>
    </w:p>
    <w:p w:rsidR="000102B7" w:rsidRPr="000102B7" w:rsidRDefault="000102B7" w:rsidP="000102B7">
      <w:pPr>
        <w:jc w:val="center"/>
        <w:rPr>
          <w:b w:val="0"/>
          <w:sz w:val="28"/>
          <w:szCs w:val="28"/>
          <w:lang w:val="uk-UA"/>
        </w:rPr>
      </w:pPr>
    </w:p>
    <w:p w:rsidR="00F56B27" w:rsidRDefault="00F56B27" w:rsidP="007A20D7">
      <w:pPr>
        <w:jc w:val="center"/>
        <w:rPr>
          <w:b w:val="0"/>
          <w:sz w:val="28"/>
          <w:szCs w:val="28"/>
          <w:lang w:val="uk-UA"/>
        </w:rPr>
      </w:pPr>
      <w:r w:rsidRPr="004E1776">
        <w:rPr>
          <w:b w:val="0"/>
          <w:sz w:val="28"/>
          <w:szCs w:val="28"/>
          <w:lang w:val="uk-UA"/>
        </w:rPr>
        <w:t>(</w:t>
      </w:r>
      <w:r w:rsidR="007A20D7">
        <w:rPr>
          <w:b w:val="0"/>
          <w:sz w:val="28"/>
          <w:szCs w:val="28"/>
          <w:lang w:val="uk-UA"/>
        </w:rPr>
        <w:t>м. Копенгаген</w:t>
      </w:r>
      <w:r w:rsidRPr="004E1776">
        <w:rPr>
          <w:b w:val="0"/>
          <w:sz w:val="28"/>
          <w:szCs w:val="28"/>
          <w:lang w:val="uk-UA"/>
        </w:rPr>
        <w:t>,</w:t>
      </w:r>
      <w:r w:rsidR="00E71F36" w:rsidRPr="004E1776">
        <w:rPr>
          <w:b w:val="0"/>
          <w:sz w:val="28"/>
          <w:szCs w:val="28"/>
          <w:lang w:val="uk-UA"/>
        </w:rPr>
        <w:t xml:space="preserve"> </w:t>
      </w:r>
      <w:r w:rsidR="007A20D7">
        <w:rPr>
          <w:b w:val="0"/>
          <w:sz w:val="28"/>
          <w:szCs w:val="28"/>
          <w:lang w:val="uk-UA"/>
        </w:rPr>
        <w:t>Королівство Данії</w:t>
      </w:r>
      <w:r w:rsidR="00E71F36" w:rsidRPr="004E1776">
        <w:rPr>
          <w:b w:val="0"/>
          <w:sz w:val="28"/>
          <w:szCs w:val="28"/>
          <w:lang w:val="uk-UA"/>
        </w:rPr>
        <w:t xml:space="preserve">, </w:t>
      </w:r>
      <w:r w:rsidR="00D43033" w:rsidRPr="004E1776">
        <w:rPr>
          <w:b w:val="0"/>
          <w:sz w:val="28"/>
          <w:szCs w:val="28"/>
          <w:lang w:val="uk-UA"/>
        </w:rPr>
        <w:t>1</w:t>
      </w:r>
      <w:r w:rsidR="007A20D7">
        <w:rPr>
          <w:b w:val="0"/>
          <w:sz w:val="28"/>
          <w:szCs w:val="28"/>
          <w:lang w:val="uk-UA"/>
        </w:rPr>
        <w:t>0</w:t>
      </w:r>
      <w:r w:rsidR="00D43033" w:rsidRPr="004E1776">
        <w:rPr>
          <w:b w:val="0"/>
          <w:sz w:val="28"/>
          <w:szCs w:val="28"/>
          <w:lang w:val="uk-UA"/>
        </w:rPr>
        <w:t>-1</w:t>
      </w:r>
      <w:r w:rsidR="007A20D7">
        <w:rPr>
          <w:b w:val="0"/>
          <w:sz w:val="28"/>
          <w:szCs w:val="28"/>
          <w:lang w:val="uk-UA"/>
        </w:rPr>
        <w:t>2</w:t>
      </w:r>
      <w:r w:rsidRPr="004E1776">
        <w:rPr>
          <w:b w:val="0"/>
          <w:sz w:val="28"/>
          <w:szCs w:val="28"/>
          <w:lang w:val="uk-UA"/>
        </w:rPr>
        <w:t xml:space="preserve"> </w:t>
      </w:r>
      <w:r w:rsidR="007A20D7">
        <w:rPr>
          <w:b w:val="0"/>
          <w:sz w:val="28"/>
          <w:szCs w:val="28"/>
          <w:lang w:val="uk-UA"/>
        </w:rPr>
        <w:t>червня</w:t>
      </w:r>
      <w:r w:rsidRPr="004E1776">
        <w:rPr>
          <w:b w:val="0"/>
          <w:sz w:val="28"/>
          <w:szCs w:val="28"/>
          <w:lang w:val="uk-UA"/>
        </w:rPr>
        <w:t xml:space="preserve"> 20</w:t>
      </w:r>
      <w:r w:rsidR="00D43033" w:rsidRPr="004E1776">
        <w:rPr>
          <w:b w:val="0"/>
          <w:sz w:val="28"/>
          <w:szCs w:val="28"/>
          <w:lang w:val="uk-UA"/>
        </w:rPr>
        <w:t>1</w:t>
      </w:r>
      <w:r w:rsidR="004D4CA7">
        <w:rPr>
          <w:b w:val="0"/>
          <w:sz w:val="28"/>
          <w:szCs w:val="28"/>
          <w:lang w:val="uk-UA"/>
        </w:rPr>
        <w:t>4</w:t>
      </w:r>
      <w:r w:rsidRPr="004E1776">
        <w:rPr>
          <w:b w:val="0"/>
          <w:sz w:val="28"/>
          <w:szCs w:val="28"/>
          <w:lang w:val="uk-UA"/>
        </w:rPr>
        <w:t xml:space="preserve"> року)</w:t>
      </w:r>
    </w:p>
    <w:p w:rsidR="00F56B27" w:rsidRPr="004E1776" w:rsidRDefault="00F56B27" w:rsidP="000102B7">
      <w:pPr>
        <w:jc w:val="center"/>
        <w:rPr>
          <w:sz w:val="28"/>
          <w:szCs w:val="28"/>
          <w:lang w:val="uk-UA"/>
        </w:rPr>
      </w:pPr>
    </w:p>
    <w:p w:rsidR="000102B7" w:rsidRDefault="000102B7" w:rsidP="000102B7">
      <w:pPr>
        <w:jc w:val="center"/>
        <w:rPr>
          <w:sz w:val="28"/>
          <w:szCs w:val="28"/>
          <w:lang w:val="uk-UA"/>
        </w:rPr>
      </w:pPr>
      <w:r>
        <w:rPr>
          <w:sz w:val="28"/>
          <w:szCs w:val="28"/>
          <w:lang w:val="uk-UA"/>
        </w:rPr>
        <w:br w:type="page"/>
      </w:r>
    </w:p>
    <w:p w:rsidR="007A20D7" w:rsidRPr="007A20D7" w:rsidRDefault="007A20D7" w:rsidP="007A20D7">
      <w:pPr>
        <w:spacing w:line="360" w:lineRule="auto"/>
        <w:ind w:firstLine="900"/>
        <w:jc w:val="both"/>
        <w:rPr>
          <w:b w:val="0"/>
          <w:sz w:val="28"/>
          <w:szCs w:val="28"/>
          <w:lang w:val="uk-UA"/>
        </w:rPr>
      </w:pPr>
      <w:r w:rsidRPr="007A20D7">
        <w:rPr>
          <w:b w:val="0"/>
          <w:sz w:val="28"/>
          <w:szCs w:val="28"/>
          <w:lang w:val="uk-UA"/>
        </w:rPr>
        <w:lastRenderedPageBreak/>
        <w:t>Відповідно до запрошення Статистичної служби Данії фахівці Держстату України – заступник директора департаменту статистики торгівлі Кругляк В.В., заступник директора департаменту комунікацій, забезпечення доступу до публічної інформації та міжнародного співробітництва Бегма Н.О., начальник відділу статистики зовнішньої торгівлі послугами департаменту статистики торгівлі Поремська Т.С., головний спеціаліст-економіст відділу статистики зовнішньої торгівлі послугами департаменту статистики торгівлі Костирко В.Я. у рамках реалізації заходів проекту ЄС Твіннінг "Сприяння процесам удосконалення Державної служби статистики України з метою покращення її потенціалу та продукції", прийняли участь у навчальному візиті з питань вивчення досвіду Данії у сфері статистики зовнішньої торгівлі послугами з 10 по 12 червня 2014 року у  м. Копенгаген, Королівство Данія.</w:t>
      </w:r>
    </w:p>
    <w:p w:rsidR="007A20D7" w:rsidRPr="007A20D7" w:rsidRDefault="007A20D7" w:rsidP="007A20D7">
      <w:pPr>
        <w:pStyle w:val="Ingenafstand"/>
        <w:spacing w:line="360" w:lineRule="auto"/>
        <w:ind w:firstLine="709"/>
        <w:rPr>
          <w:rFonts w:ascii="Times New Roman" w:hAnsi="Times New Roman"/>
          <w:bCs/>
          <w:sz w:val="28"/>
          <w:szCs w:val="28"/>
          <w:lang w:val="uk-UA" w:eastAsia="ru-RU"/>
        </w:rPr>
      </w:pPr>
      <w:r w:rsidRPr="007A20D7">
        <w:rPr>
          <w:rFonts w:ascii="Times New Roman" w:hAnsi="Times New Roman"/>
          <w:bCs/>
          <w:sz w:val="28"/>
          <w:szCs w:val="28"/>
          <w:lang w:val="uk-UA" w:eastAsia="ru-RU"/>
        </w:rPr>
        <w:t>Основною метою навчального візиту до Статистичної служби Данії було ознайомлення фахівців Держстату з методологією статистики міжнародної торгівлі послугами Данії в умовах переходу до нової системи обліку, яка відповідає рекомендаціям Керівництва зі статистики міжнародної торгівлі послугами (Статвідділ ООН, 2010) та Керівництва з платіжного балансу та міжнародної інвестиційної позиції, шостого видання (МВФ, 2009).</w:t>
      </w:r>
    </w:p>
    <w:p w:rsidR="007A20D7" w:rsidRPr="007A20D7" w:rsidRDefault="007A20D7" w:rsidP="007A20D7">
      <w:pPr>
        <w:spacing w:line="360" w:lineRule="auto"/>
        <w:ind w:firstLine="900"/>
        <w:jc w:val="both"/>
        <w:rPr>
          <w:b w:val="0"/>
          <w:sz w:val="28"/>
          <w:szCs w:val="28"/>
          <w:lang w:val="uk-UA"/>
        </w:rPr>
      </w:pPr>
      <w:r w:rsidRPr="007A20D7">
        <w:rPr>
          <w:b w:val="0"/>
          <w:sz w:val="28"/>
          <w:szCs w:val="28"/>
          <w:lang w:val="uk-UA"/>
        </w:rPr>
        <w:t xml:space="preserve">У ході навчального візиту представники України ознайомились з методологією та системою обліку у статистиці зовнішньої торгівлі послугами Данії з урахуванням міжнародних рекомендацій, досвідом Данії в період переходу до нової системи обліку у статистиці зовнішньої торгівлі послугами. </w:t>
      </w:r>
    </w:p>
    <w:p w:rsidR="007A20D7" w:rsidRPr="007A20D7" w:rsidRDefault="007A20D7" w:rsidP="007A20D7">
      <w:pPr>
        <w:spacing w:line="360" w:lineRule="auto"/>
        <w:ind w:firstLine="900"/>
        <w:jc w:val="both"/>
        <w:rPr>
          <w:b w:val="0"/>
          <w:sz w:val="28"/>
          <w:szCs w:val="28"/>
          <w:lang w:val="uk-UA"/>
        </w:rPr>
      </w:pPr>
      <w:r w:rsidRPr="007A20D7">
        <w:rPr>
          <w:b w:val="0"/>
          <w:sz w:val="28"/>
          <w:szCs w:val="28"/>
          <w:lang w:val="uk-UA"/>
        </w:rPr>
        <w:t xml:space="preserve">Фахівці Держстату взяли участь у обговоренні питань щодо методологічних підходів розрахунків видів послуг, які не обліковувалися раніше у статистиці зовнішньої торгівлі послугами (послуги з переробки матеріальних ресурсів, послуги агентування та фрахтування, послуги зі страхування вантажів та багажу, послуги з перестрахування), згідно з системою їх обліку у статистиці Данії.  </w:t>
      </w:r>
    </w:p>
    <w:p w:rsidR="007A20D7" w:rsidRPr="007A20D7" w:rsidRDefault="007A20D7" w:rsidP="007A20D7">
      <w:pPr>
        <w:spacing w:line="360" w:lineRule="auto"/>
        <w:ind w:firstLine="900"/>
        <w:jc w:val="both"/>
        <w:rPr>
          <w:b w:val="0"/>
          <w:sz w:val="28"/>
          <w:szCs w:val="28"/>
          <w:lang w:val="uk-UA"/>
        </w:rPr>
      </w:pPr>
      <w:r w:rsidRPr="007A20D7">
        <w:rPr>
          <w:b w:val="0"/>
          <w:sz w:val="28"/>
          <w:szCs w:val="28"/>
          <w:lang w:val="uk-UA"/>
        </w:rPr>
        <w:t xml:space="preserve">Проведено презентації щодо досвіду роботи із зазначених питань фахівців Статистичної служби Данії та Державної служби статистики України. </w:t>
      </w:r>
      <w:r w:rsidRPr="007A20D7">
        <w:rPr>
          <w:b w:val="0"/>
          <w:sz w:val="28"/>
          <w:szCs w:val="28"/>
          <w:lang w:val="uk-UA"/>
        </w:rPr>
        <w:lastRenderedPageBreak/>
        <w:t>За результатами презентацій відбулося обговорення окремих проблемних питань, які виникають при зборі статистичної інформації, отриманні адміністративних даних та дотримання їх відповідної якості.</w:t>
      </w:r>
    </w:p>
    <w:p w:rsidR="007A20D7" w:rsidRPr="007A20D7" w:rsidRDefault="007A20D7" w:rsidP="007A20D7">
      <w:pPr>
        <w:spacing w:line="360" w:lineRule="auto"/>
        <w:ind w:firstLine="900"/>
        <w:jc w:val="both"/>
        <w:rPr>
          <w:b w:val="0"/>
          <w:sz w:val="28"/>
          <w:szCs w:val="28"/>
          <w:lang w:val="uk-UA"/>
        </w:rPr>
      </w:pPr>
      <w:r w:rsidRPr="007A20D7">
        <w:rPr>
          <w:b w:val="0"/>
          <w:sz w:val="28"/>
          <w:szCs w:val="28"/>
          <w:lang w:val="uk-UA"/>
        </w:rPr>
        <w:t>У підсумку навчального візиту було визначено проблемні питання, які виникли в умовах переходу до нової системи обліку у статистиці зовнішньої торгівлі України послугами, яка відповідає рекомендаціям Керівництва зі статистики міжнародної торгівлі послугами (Статвідділ ООН, 2010) та Керівництва з платіжного балансу та міжнародної інвестиційної позиції, шостого видання (МВФ, 2009) та подальші заходи щодо отримання методологічної та практичної допомоги по їх вирішенню у статистичній практиці.</w:t>
      </w:r>
    </w:p>
    <w:p w:rsidR="007A20D7" w:rsidRPr="007A20D7" w:rsidRDefault="007A20D7" w:rsidP="007A20D7">
      <w:pPr>
        <w:spacing w:line="360" w:lineRule="auto"/>
        <w:ind w:firstLine="900"/>
        <w:jc w:val="both"/>
        <w:rPr>
          <w:b w:val="0"/>
          <w:sz w:val="28"/>
          <w:szCs w:val="28"/>
          <w:lang w:val="uk-UA"/>
        </w:rPr>
      </w:pPr>
      <w:r w:rsidRPr="007A20D7">
        <w:rPr>
          <w:b w:val="0"/>
          <w:sz w:val="28"/>
          <w:szCs w:val="28"/>
          <w:lang w:val="uk-UA"/>
        </w:rPr>
        <w:t>Крім того під час навчального візиту використано відповідні положення резолюції Генеральної Асамблеї ООН від 27.03.2014р. "Територіальна цілісність України" (А/Res/68/262)" з питань анексії Російською Федерацією АР Крим. Зокрема звернено увагу фахівців Статистичної служби Данії на географічне представлення України як цілісної держави.</w:t>
      </w:r>
    </w:p>
    <w:p w:rsidR="007A20D7" w:rsidRDefault="007A20D7" w:rsidP="007A3E8B">
      <w:pPr>
        <w:spacing w:line="360" w:lineRule="auto"/>
        <w:ind w:firstLine="709"/>
        <w:jc w:val="both"/>
        <w:rPr>
          <w:b w:val="0"/>
          <w:sz w:val="28"/>
          <w:szCs w:val="28"/>
          <w:lang w:val="uk-UA"/>
        </w:rPr>
      </w:pPr>
    </w:p>
    <w:p w:rsidR="002818DF" w:rsidRPr="002818DF" w:rsidRDefault="002818DF" w:rsidP="007A20D7">
      <w:pPr>
        <w:spacing w:line="360" w:lineRule="auto"/>
        <w:ind w:firstLine="900"/>
        <w:jc w:val="both"/>
        <w:rPr>
          <w:b w:val="0"/>
          <w:sz w:val="28"/>
          <w:szCs w:val="28"/>
          <w:lang w:val="uk-UA"/>
        </w:rPr>
      </w:pPr>
      <w:r w:rsidRPr="002818DF">
        <w:rPr>
          <w:b w:val="0"/>
          <w:sz w:val="28"/>
          <w:szCs w:val="28"/>
          <w:lang w:val="uk-UA"/>
        </w:rPr>
        <w:t xml:space="preserve">Представники ДССУ висловлюють щиру вдячність всім </w:t>
      </w:r>
      <w:r w:rsidR="007A20D7">
        <w:rPr>
          <w:b w:val="0"/>
          <w:sz w:val="28"/>
          <w:szCs w:val="28"/>
          <w:lang w:val="uk-UA"/>
        </w:rPr>
        <w:t>фахівцям Статистичної служби Данії,</w:t>
      </w:r>
      <w:r w:rsidRPr="002818DF">
        <w:rPr>
          <w:b w:val="0"/>
          <w:sz w:val="28"/>
          <w:szCs w:val="28"/>
          <w:lang w:val="uk-UA"/>
        </w:rPr>
        <w:t xml:space="preserve"> з якими відбувалися зустрічі та які здійснили презентації відповідно до програми навчального візиту, за корисну інформацію, яка була отримана під час </w:t>
      </w:r>
      <w:r w:rsidR="007A20D7">
        <w:rPr>
          <w:b w:val="0"/>
          <w:sz w:val="28"/>
          <w:szCs w:val="28"/>
          <w:lang w:val="uk-UA"/>
        </w:rPr>
        <w:t>навчального візиту</w:t>
      </w:r>
      <w:r w:rsidRPr="002818DF">
        <w:rPr>
          <w:b w:val="0"/>
          <w:sz w:val="28"/>
          <w:szCs w:val="28"/>
          <w:lang w:val="uk-UA"/>
        </w:rPr>
        <w:t>.</w:t>
      </w:r>
    </w:p>
    <w:p w:rsidR="002818DF" w:rsidRPr="004E1776" w:rsidRDefault="002818DF" w:rsidP="006B744F">
      <w:pPr>
        <w:spacing w:line="312" w:lineRule="auto"/>
        <w:jc w:val="both"/>
        <w:rPr>
          <w:sz w:val="28"/>
          <w:szCs w:val="28"/>
          <w:lang w:val="uk-UA"/>
        </w:rPr>
      </w:pPr>
    </w:p>
    <w:p w:rsidR="0082505B" w:rsidRPr="0082505B" w:rsidRDefault="0082505B" w:rsidP="0082505B">
      <w:pPr>
        <w:jc w:val="both"/>
        <w:rPr>
          <w:sz w:val="28"/>
          <w:szCs w:val="28"/>
          <w:lang w:val="uk-UA"/>
        </w:rPr>
      </w:pPr>
      <w:r w:rsidRPr="0082505B">
        <w:rPr>
          <w:sz w:val="28"/>
          <w:szCs w:val="28"/>
          <w:lang w:val="uk-UA"/>
        </w:rPr>
        <w:t>Особи, з якими були проведені зустрічі</w:t>
      </w:r>
    </w:p>
    <w:p w:rsidR="0082505B" w:rsidRPr="0082505B" w:rsidRDefault="0082505B" w:rsidP="0082505B">
      <w:pPr>
        <w:rPr>
          <w:b w:val="0"/>
          <w:bCs w:val="0"/>
          <w:sz w:val="28"/>
          <w:szCs w:val="28"/>
          <w:lang w:val="uk-UA"/>
        </w:rPr>
      </w:pPr>
    </w:p>
    <w:p w:rsidR="0082505B" w:rsidRPr="0082505B" w:rsidRDefault="007A20D7" w:rsidP="0082505B">
      <w:pPr>
        <w:rPr>
          <w:b w:val="0"/>
          <w:sz w:val="28"/>
          <w:szCs w:val="28"/>
          <w:lang w:val="uk-UA"/>
        </w:rPr>
      </w:pPr>
      <w:r>
        <w:rPr>
          <w:b w:val="0"/>
          <w:sz w:val="28"/>
          <w:szCs w:val="28"/>
          <w:lang w:val="uk-UA"/>
        </w:rPr>
        <w:t>Статистична служба Данії:</w:t>
      </w:r>
    </w:p>
    <w:p w:rsidR="0082505B" w:rsidRPr="0082505B" w:rsidRDefault="0082505B" w:rsidP="0082505B">
      <w:pPr>
        <w:jc w:val="both"/>
        <w:rPr>
          <w:b w:val="0"/>
          <w:sz w:val="28"/>
          <w:szCs w:val="28"/>
          <w:lang w:val="uk-UA"/>
        </w:rPr>
      </w:pPr>
    </w:p>
    <w:p w:rsidR="00E22231" w:rsidRPr="007A20D7" w:rsidRDefault="007A20D7" w:rsidP="006B744F">
      <w:pPr>
        <w:spacing w:line="312" w:lineRule="auto"/>
        <w:jc w:val="both"/>
        <w:rPr>
          <w:b w:val="0"/>
          <w:sz w:val="28"/>
          <w:szCs w:val="28"/>
          <w:highlight w:val="yellow"/>
        </w:rPr>
      </w:pPr>
      <w:r w:rsidRPr="007A20D7">
        <w:rPr>
          <w:b w:val="0"/>
          <w:sz w:val="28"/>
          <w:szCs w:val="28"/>
          <w:highlight w:val="yellow"/>
          <w:lang w:val="en-US"/>
        </w:rPr>
        <w:t>Poul</w:t>
      </w:r>
      <w:r w:rsidRPr="007A20D7">
        <w:rPr>
          <w:b w:val="0"/>
          <w:sz w:val="28"/>
          <w:szCs w:val="28"/>
          <w:highlight w:val="yellow"/>
        </w:rPr>
        <w:t xml:space="preserve"> </w:t>
      </w:r>
      <w:r w:rsidRPr="007A20D7">
        <w:rPr>
          <w:b w:val="0"/>
          <w:sz w:val="28"/>
          <w:szCs w:val="28"/>
          <w:highlight w:val="yellow"/>
          <w:lang w:val="en-US"/>
        </w:rPr>
        <w:t>Uffe</w:t>
      </w:r>
      <w:r w:rsidRPr="007A20D7">
        <w:rPr>
          <w:b w:val="0"/>
          <w:sz w:val="28"/>
          <w:szCs w:val="28"/>
          <w:highlight w:val="yellow"/>
        </w:rPr>
        <w:t xml:space="preserve"> </w:t>
      </w:r>
      <w:r w:rsidRPr="007A20D7">
        <w:rPr>
          <w:b w:val="0"/>
          <w:sz w:val="28"/>
          <w:szCs w:val="28"/>
          <w:highlight w:val="yellow"/>
          <w:lang w:val="en-US"/>
        </w:rPr>
        <w:t>Dam</w:t>
      </w:r>
    </w:p>
    <w:p w:rsidR="007A20D7" w:rsidRPr="007A20D7" w:rsidRDefault="007A20D7" w:rsidP="006B744F">
      <w:pPr>
        <w:spacing w:line="312" w:lineRule="auto"/>
        <w:jc w:val="both"/>
        <w:rPr>
          <w:b w:val="0"/>
          <w:sz w:val="28"/>
          <w:szCs w:val="28"/>
          <w:highlight w:val="yellow"/>
          <w:lang w:val="en-US"/>
        </w:rPr>
      </w:pPr>
      <w:r w:rsidRPr="007A20D7">
        <w:rPr>
          <w:b w:val="0"/>
          <w:sz w:val="28"/>
          <w:szCs w:val="28"/>
          <w:highlight w:val="yellow"/>
          <w:lang w:val="en-US"/>
        </w:rPr>
        <w:t>Agnes Urup Nansen</w:t>
      </w:r>
    </w:p>
    <w:p w:rsidR="007A20D7" w:rsidRPr="007A20D7" w:rsidRDefault="007A20D7" w:rsidP="006B744F">
      <w:pPr>
        <w:spacing w:line="312" w:lineRule="auto"/>
        <w:jc w:val="both"/>
        <w:rPr>
          <w:b w:val="0"/>
          <w:sz w:val="28"/>
          <w:szCs w:val="28"/>
          <w:highlight w:val="yellow"/>
          <w:lang w:val="en-US"/>
        </w:rPr>
      </w:pPr>
      <w:r w:rsidRPr="007A20D7">
        <w:rPr>
          <w:b w:val="0"/>
          <w:sz w:val="28"/>
          <w:szCs w:val="28"/>
          <w:highlight w:val="yellow"/>
          <w:lang w:val="en-US"/>
        </w:rPr>
        <w:t>Soren Burman</w:t>
      </w:r>
    </w:p>
    <w:p w:rsidR="007A20D7" w:rsidRPr="007A20D7" w:rsidRDefault="007A20D7" w:rsidP="006B744F">
      <w:pPr>
        <w:spacing w:line="312" w:lineRule="auto"/>
        <w:jc w:val="both"/>
        <w:rPr>
          <w:b w:val="0"/>
          <w:sz w:val="28"/>
          <w:szCs w:val="28"/>
          <w:highlight w:val="yellow"/>
          <w:lang w:val="en-US"/>
        </w:rPr>
      </w:pPr>
      <w:r w:rsidRPr="007A20D7">
        <w:rPr>
          <w:b w:val="0"/>
          <w:sz w:val="28"/>
          <w:szCs w:val="28"/>
          <w:highlight w:val="yellow"/>
          <w:lang w:val="en-US"/>
        </w:rPr>
        <w:t>Selma Mustafic</w:t>
      </w:r>
    </w:p>
    <w:p w:rsidR="007A20D7" w:rsidRDefault="007A20D7" w:rsidP="006B744F">
      <w:pPr>
        <w:spacing w:line="312" w:lineRule="auto"/>
        <w:jc w:val="both"/>
        <w:rPr>
          <w:b w:val="0"/>
          <w:sz w:val="28"/>
          <w:szCs w:val="28"/>
          <w:lang w:val="en-US"/>
        </w:rPr>
      </w:pPr>
      <w:r w:rsidRPr="007A20D7">
        <w:rPr>
          <w:b w:val="0"/>
          <w:sz w:val="28"/>
          <w:szCs w:val="28"/>
          <w:highlight w:val="yellow"/>
          <w:lang w:val="en-US"/>
        </w:rPr>
        <w:t>Casper Winter</w:t>
      </w:r>
    </w:p>
    <w:p w:rsidR="000A4C19" w:rsidRDefault="000A4C19" w:rsidP="006B744F">
      <w:pPr>
        <w:spacing w:line="312" w:lineRule="auto"/>
        <w:jc w:val="both"/>
        <w:rPr>
          <w:b w:val="0"/>
          <w:sz w:val="28"/>
          <w:szCs w:val="28"/>
          <w:lang w:val="en-US"/>
        </w:rPr>
      </w:pPr>
    </w:p>
    <w:p w:rsidR="007A20D7" w:rsidRPr="007A20D7" w:rsidRDefault="007A20D7" w:rsidP="006B744F">
      <w:pPr>
        <w:spacing w:line="312" w:lineRule="auto"/>
        <w:jc w:val="both"/>
        <w:rPr>
          <w:b w:val="0"/>
          <w:sz w:val="28"/>
          <w:szCs w:val="28"/>
          <w:lang w:val="en-US"/>
        </w:rPr>
      </w:pPr>
    </w:p>
    <w:p w:rsidR="007A3E8B" w:rsidRDefault="007A3E8B" w:rsidP="007A3E8B">
      <w:pPr>
        <w:spacing w:after="120"/>
        <w:jc w:val="both"/>
        <w:rPr>
          <w:bCs w:val="0"/>
          <w:iCs/>
          <w:sz w:val="28"/>
          <w:szCs w:val="28"/>
          <w:lang w:val="uk-UA"/>
        </w:rPr>
      </w:pPr>
      <w:r w:rsidRPr="007A3E8B">
        <w:rPr>
          <w:bCs w:val="0"/>
          <w:iCs/>
          <w:sz w:val="28"/>
          <w:szCs w:val="28"/>
          <w:lang w:val="uk-UA"/>
        </w:rPr>
        <w:t>Висновки та рекомендації</w:t>
      </w:r>
    </w:p>
    <w:p w:rsidR="007A3E8B" w:rsidRPr="007A20D7" w:rsidRDefault="007A3E8B" w:rsidP="007A3E8B">
      <w:pPr>
        <w:spacing w:line="360" w:lineRule="auto"/>
        <w:ind w:firstLine="720"/>
        <w:jc w:val="both"/>
        <w:rPr>
          <w:b w:val="0"/>
          <w:bCs w:val="0"/>
          <w:iCs/>
          <w:sz w:val="12"/>
          <w:szCs w:val="12"/>
          <w:lang w:val="uk-UA"/>
        </w:rPr>
      </w:pPr>
    </w:p>
    <w:p w:rsidR="007A20D7" w:rsidRPr="007A20D7" w:rsidRDefault="007A20D7" w:rsidP="007A20D7">
      <w:pPr>
        <w:spacing w:line="360" w:lineRule="auto"/>
        <w:ind w:firstLine="900"/>
        <w:jc w:val="both"/>
        <w:rPr>
          <w:b w:val="0"/>
          <w:sz w:val="28"/>
          <w:szCs w:val="28"/>
          <w:lang w:val="uk-UA"/>
        </w:rPr>
      </w:pPr>
      <w:r w:rsidRPr="007A20D7">
        <w:rPr>
          <w:b w:val="0"/>
          <w:sz w:val="28"/>
          <w:szCs w:val="28"/>
          <w:lang w:val="uk-UA"/>
        </w:rPr>
        <w:t>Навчальний візит надав можливість отримати досвід, вдосконалити знання і практичні навички щодо формування статистики зовнішньої торгівлі послугами у платіжному балансі, методології, процедур збору та складання даних зі статистики зовнішньої торгівлі послугами. В ході візиту відбувся обмін думками з питань щодо збору, обробки, розповсюдження даних зі статистики зовнішньої торгівлі послугами та формування платіжного балансу, забезпечення їх співставності як у національній практиці, так і на міжнародному рівні, визначено подальші напрямки гармонізації статистики зовнішньої торгівлі послугами України до європейських та міжнародних стандартів.</w:t>
      </w:r>
    </w:p>
    <w:p w:rsidR="007A20D7" w:rsidRPr="007A20D7" w:rsidRDefault="007A20D7" w:rsidP="007A20D7">
      <w:pPr>
        <w:spacing w:line="360" w:lineRule="auto"/>
        <w:ind w:firstLine="900"/>
        <w:jc w:val="both"/>
        <w:rPr>
          <w:b w:val="0"/>
          <w:sz w:val="28"/>
          <w:szCs w:val="28"/>
          <w:lang w:val="uk-UA"/>
        </w:rPr>
      </w:pPr>
      <w:r w:rsidRPr="007A20D7">
        <w:rPr>
          <w:b w:val="0"/>
          <w:sz w:val="28"/>
          <w:szCs w:val="28"/>
          <w:lang w:val="uk-UA"/>
        </w:rPr>
        <w:t>Обговорено методологічні підходи Статистичної служби Данії щодо розрахунку видів послуг, які не обліковувалися у статистиці зовнішньої торгівлі раніше. Отримано рекомендації експертів Статистичної служби щодо гармонізації національної системи статистичного обліку зовнішньої торгівлі послугами відповідно до європейських стандартів.</w:t>
      </w:r>
    </w:p>
    <w:p w:rsidR="007A20D7" w:rsidRPr="007A20D7" w:rsidRDefault="007A20D7" w:rsidP="007A20D7">
      <w:pPr>
        <w:spacing w:line="360" w:lineRule="auto"/>
        <w:ind w:firstLine="900"/>
        <w:jc w:val="both"/>
        <w:rPr>
          <w:b w:val="0"/>
          <w:sz w:val="28"/>
          <w:szCs w:val="28"/>
          <w:lang w:val="uk-UA"/>
        </w:rPr>
      </w:pPr>
      <w:r w:rsidRPr="007A20D7">
        <w:rPr>
          <w:b w:val="0"/>
          <w:sz w:val="28"/>
          <w:szCs w:val="28"/>
          <w:lang w:val="uk-UA"/>
        </w:rPr>
        <w:t>З метою забезпечення повноти та якості статистичної інформації експертами Статистичної служби Данії надано рекомендації щодо необхідності використання даних митної статистики для проведення ретроспективного розрахунку даних щодо зовнішньої торгівлі послугами зі страхування, агентування та фрахтування, переробки матеріальних ресурсів.</w:t>
      </w:r>
    </w:p>
    <w:p w:rsidR="003567F5" w:rsidRPr="007A20D7" w:rsidRDefault="003567F5" w:rsidP="00553338">
      <w:pPr>
        <w:spacing w:line="312" w:lineRule="auto"/>
        <w:ind w:firstLine="720"/>
        <w:jc w:val="both"/>
        <w:rPr>
          <w:b w:val="0"/>
          <w:sz w:val="12"/>
          <w:szCs w:val="12"/>
          <w:lang w:val="uk-UA"/>
        </w:rPr>
      </w:pPr>
    </w:p>
    <w:p w:rsidR="003567F5" w:rsidRPr="003567F5" w:rsidRDefault="003567F5" w:rsidP="003567F5">
      <w:pPr>
        <w:spacing w:line="312" w:lineRule="auto"/>
        <w:jc w:val="both"/>
        <w:rPr>
          <w:sz w:val="28"/>
          <w:szCs w:val="28"/>
          <w:lang w:val="uk-UA"/>
        </w:rPr>
      </w:pPr>
      <w:r w:rsidRPr="003567F5">
        <w:rPr>
          <w:sz w:val="28"/>
          <w:szCs w:val="28"/>
          <w:lang w:val="uk-UA"/>
        </w:rPr>
        <w:t>Подальше співробітництво</w:t>
      </w:r>
    </w:p>
    <w:p w:rsidR="00802A36" w:rsidRDefault="00802A36" w:rsidP="003567F5">
      <w:pPr>
        <w:pStyle w:val="Titel"/>
        <w:ind w:firstLine="709"/>
        <w:jc w:val="left"/>
        <w:rPr>
          <w:b w:val="0"/>
          <w:sz w:val="28"/>
          <w:szCs w:val="28"/>
        </w:rPr>
      </w:pPr>
    </w:p>
    <w:p w:rsidR="007A20D7" w:rsidRDefault="007A20D7" w:rsidP="007A20D7">
      <w:pPr>
        <w:spacing w:line="360" w:lineRule="auto"/>
        <w:ind w:firstLine="900"/>
        <w:jc w:val="both"/>
        <w:rPr>
          <w:b w:val="0"/>
          <w:sz w:val="28"/>
          <w:szCs w:val="28"/>
          <w:lang w:val="uk-UA"/>
        </w:rPr>
      </w:pPr>
      <w:r w:rsidRPr="007A20D7">
        <w:rPr>
          <w:b w:val="0"/>
          <w:sz w:val="28"/>
          <w:szCs w:val="28"/>
          <w:lang w:val="uk-UA"/>
        </w:rPr>
        <w:t xml:space="preserve">  Держстат має продовжити роботу стосовно впровадження нової системи обліку зовнішньої торгівлі послугами, яка відповідає рекомендаціям Керівництва зі статистики міжнародної торгівлі послугами (Статвідділ ООН, 2010) та Керівництва з платіжного балансу та міжнародної інвестиційної позиції, шостого видання (МВФ, 2009), врегулювання питання отримання даних, необхідних для розрахунку зазначених видів послуг. </w:t>
      </w:r>
    </w:p>
    <w:p w:rsidR="002818DF" w:rsidRPr="0082505B" w:rsidRDefault="007A20D7" w:rsidP="007A20D7">
      <w:pPr>
        <w:pStyle w:val="Titel"/>
        <w:spacing w:line="360" w:lineRule="auto"/>
        <w:ind w:firstLine="709"/>
        <w:jc w:val="left"/>
        <w:rPr>
          <w:b w:val="0"/>
          <w:sz w:val="28"/>
          <w:szCs w:val="28"/>
        </w:rPr>
      </w:pPr>
      <w:r>
        <w:rPr>
          <w:b w:val="0"/>
          <w:sz w:val="28"/>
          <w:szCs w:val="28"/>
        </w:rPr>
        <w:t>Робоча місія експертів</w:t>
      </w:r>
      <w:r w:rsidR="00802A36" w:rsidRPr="00802A36">
        <w:rPr>
          <w:b w:val="0"/>
          <w:sz w:val="28"/>
          <w:szCs w:val="28"/>
        </w:rPr>
        <w:t xml:space="preserve"> планується на жовтень 2014 року.</w:t>
      </w:r>
      <w:r w:rsidR="00802A36">
        <w:rPr>
          <w:b w:val="0"/>
          <w:sz w:val="28"/>
          <w:szCs w:val="28"/>
        </w:rPr>
        <w:t xml:space="preserve"> </w:t>
      </w:r>
    </w:p>
    <w:sectPr w:rsidR="002818DF" w:rsidRPr="0082505B" w:rsidSect="00EC5E0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harter">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3513B"/>
    <w:multiLevelType w:val="hybridMultilevel"/>
    <w:tmpl w:val="0094793A"/>
    <w:lvl w:ilvl="0" w:tplc="0419000F">
      <w:start w:val="1"/>
      <w:numFmt w:val="decimal"/>
      <w:lvlText w:val="%1."/>
      <w:lvlJc w:val="left"/>
      <w:pPr>
        <w:tabs>
          <w:tab w:val="num" w:pos="720"/>
        </w:tabs>
        <w:ind w:left="720" w:hanging="360"/>
      </w:pPr>
    </w:lvl>
    <w:lvl w:ilvl="1" w:tplc="7168405E">
      <w:numFmt w:val="bullet"/>
      <w:lvlText w:val="-"/>
      <w:lvlJc w:val="left"/>
      <w:pPr>
        <w:tabs>
          <w:tab w:val="num" w:pos="1440"/>
        </w:tabs>
        <w:ind w:left="1440" w:hanging="360"/>
      </w:pPr>
      <w:rPr>
        <w:sz w:val="26"/>
        <w:szCs w:val="26"/>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E284E48"/>
    <w:multiLevelType w:val="hybridMultilevel"/>
    <w:tmpl w:val="B7968F4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1C277D1"/>
    <w:multiLevelType w:val="hybridMultilevel"/>
    <w:tmpl w:val="9A04FF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3AE0F23"/>
    <w:multiLevelType w:val="hybridMultilevel"/>
    <w:tmpl w:val="6FE2A26A"/>
    <w:lvl w:ilvl="0" w:tplc="8CB6BB78">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4">
    <w:nsid w:val="770A1B05"/>
    <w:multiLevelType w:val="hybridMultilevel"/>
    <w:tmpl w:val="D77C69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172"/>
    <w:rsid w:val="000102B7"/>
    <w:rsid w:val="000132BA"/>
    <w:rsid w:val="0003151B"/>
    <w:rsid w:val="000459A0"/>
    <w:rsid w:val="0005190B"/>
    <w:rsid w:val="00053B9F"/>
    <w:rsid w:val="00056B15"/>
    <w:rsid w:val="00065354"/>
    <w:rsid w:val="000925F4"/>
    <w:rsid w:val="00097172"/>
    <w:rsid w:val="000A4C19"/>
    <w:rsid w:val="000A660D"/>
    <w:rsid w:val="000C5345"/>
    <w:rsid w:val="00126D62"/>
    <w:rsid w:val="00131AA5"/>
    <w:rsid w:val="001341EF"/>
    <w:rsid w:val="00137718"/>
    <w:rsid w:val="00147C23"/>
    <w:rsid w:val="001607E8"/>
    <w:rsid w:val="00170ABF"/>
    <w:rsid w:val="001A3169"/>
    <w:rsid w:val="001F03BF"/>
    <w:rsid w:val="00210EE3"/>
    <w:rsid w:val="00212740"/>
    <w:rsid w:val="00256ED8"/>
    <w:rsid w:val="0027307E"/>
    <w:rsid w:val="002818DF"/>
    <w:rsid w:val="002A6C3D"/>
    <w:rsid w:val="002B2E83"/>
    <w:rsid w:val="00335763"/>
    <w:rsid w:val="003412BB"/>
    <w:rsid w:val="003567F5"/>
    <w:rsid w:val="003656CC"/>
    <w:rsid w:val="00367B1A"/>
    <w:rsid w:val="0037785A"/>
    <w:rsid w:val="00383D8A"/>
    <w:rsid w:val="003841E9"/>
    <w:rsid w:val="003C55DF"/>
    <w:rsid w:val="003D12E9"/>
    <w:rsid w:val="003D79A2"/>
    <w:rsid w:val="0040367B"/>
    <w:rsid w:val="00414CA1"/>
    <w:rsid w:val="00436601"/>
    <w:rsid w:val="00456539"/>
    <w:rsid w:val="00471ECB"/>
    <w:rsid w:val="004807A3"/>
    <w:rsid w:val="0049098D"/>
    <w:rsid w:val="004D4CA7"/>
    <w:rsid w:val="004E1776"/>
    <w:rsid w:val="005115AB"/>
    <w:rsid w:val="00536930"/>
    <w:rsid w:val="00553338"/>
    <w:rsid w:val="005608CB"/>
    <w:rsid w:val="0057170E"/>
    <w:rsid w:val="0059277E"/>
    <w:rsid w:val="005B2D22"/>
    <w:rsid w:val="005F02A5"/>
    <w:rsid w:val="005F1B14"/>
    <w:rsid w:val="006120DB"/>
    <w:rsid w:val="006456E3"/>
    <w:rsid w:val="006575E1"/>
    <w:rsid w:val="006B744F"/>
    <w:rsid w:val="006D54DC"/>
    <w:rsid w:val="006F7F29"/>
    <w:rsid w:val="00704AB1"/>
    <w:rsid w:val="0070599C"/>
    <w:rsid w:val="00735946"/>
    <w:rsid w:val="00755C82"/>
    <w:rsid w:val="007A20D7"/>
    <w:rsid w:val="007A3E8B"/>
    <w:rsid w:val="007B6615"/>
    <w:rsid w:val="007F027D"/>
    <w:rsid w:val="00802A36"/>
    <w:rsid w:val="00823642"/>
    <w:rsid w:val="0082505B"/>
    <w:rsid w:val="00837A93"/>
    <w:rsid w:val="00837FAE"/>
    <w:rsid w:val="0084127D"/>
    <w:rsid w:val="008628AC"/>
    <w:rsid w:val="00870204"/>
    <w:rsid w:val="00884FF9"/>
    <w:rsid w:val="008A1E0B"/>
    <w:rsid w:val="008A268F"/>
    <w:rsid w:val="008B59ED"/>
    <w:rsid w:val="008C48DD"/>
    <w:rsid w:val="008C71D4"/>
    <w:rsid w:val="008D6CE9"/>
    <w:rsid w:val="0091035E"/>
    <w:rsid w:val="00920CA6"/>
    <w:rsid w:val="00926A4D"/>
    <w:rsid w:val="00927AB9"/>
    <w:rsid w:val="00931A2A"/>
    <w:rsid w:val="00934E3B"/>
    <w:rsid w:val="00942C9B"/>
    <w:rsid w:val="009451A5"/>
    <w:rsid w:val="00953EC8"/>
    <w:rsid w:val="00962D8D"/>
    <w:rsid w:val="00977EE3"/>
    <w:rsid w:val="00987A44"/>
    <w:rsid w:val="009A18C8"/>
    <w:rsid w:val="009B521C"/>
    <w:rsid w:val="009D125E"/>
    <w:rsid w:val="009E7134"/>
    <w:rsid w:val="009E7310"/>
    <w:rsid w:val="00A04146"/>
    <w:rsid w:val="00A2480B"/>
    <w:rsid w:val="00A30915"/>
    <w:rsid w:val="00AA04B4"/>
    <w:rsid w:val="00AF1F8D"/>
    <w:rsid w:val="00AF4C01"/>
    <w:rsid w:val="00AF5E73"/>
    <w:rsid w:val="00B30601"/>
    <w:rsid w:val="00B343B2"/>
    <w:rsid w:val="00B464F4"/>
    <w:rsid w:val="00B6282E"/>
    <w:rsid w:val="00B96DDA"/>
    <w:rsid w:val="00BB7C09"/>
    <w:rsid w:val="00BC1FA1"/>
    <w:rsid w:val="00BD6DF5"/>
    <w:rsid w:val="00BE6872"/>
    <w:rsid w:val="00BF352C"/>
    <w:rsid w:val="00C37CF4"/>
    <w:rsid w:val="00C578AB"/>
    <w:rsid w:val="00C6468E"/>
    <w:rsid w:val="00C669CA"/>
    <w:rsid w:val="00CA1043"/>
    <w:rsid w:val="00CD6CD0"/>
    <w:rsid w:val="00CE0636"/>
    <w:rsid w:val="00CF204D"/>
    <w:rsid w:val="00D17420"/>
    <w:rsid w:val="00D42697"/>
    <w:rsid w:val="00D43033"/>
    <w:rsid w:val="00D539A3"/>
    <w:rsid w:val="00D723A9"/>
    <w:rsid w:val="00DD3A0F"/>
    <w:rsid w:val="00DF7343"/>
    <w:rsid w:val="00E22231"/>
    <w:rsid w:val="00E63C47"/>
    <w:rsid w:val="00E71F36"/>
    <w:rsid w:val="00E74C3C"/>
    <w:rsid w:val="00E767CE"/>
    <w:rsid w:val="00E95A8F"/>
    <w:rsid w:val="00E95D67"/>
    <w:rsid w:val="00E97B3C"/>
    <w:rsid w:val="00EC5E06"/>
    <w:rsid w:val="00EC7412"/>
    <w:rsid w:val="00EE50C1"/>
    <w:rsid w:val="00F12321"/>
    <w:rsid w:val="00F22600"/>
    <w:rsid w:val="00F56B27"/>
    <w:rsid w:val="00F77CD1"/>
    <w:rsid w:val="00FC522A"/>
    <w:rsid w:val="00FC67D7"/>
    <w:rsid w:val="00FF04B9"/>
    <w:rsid w:val="00FF1B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172"/>
    <w:pPr>
      <w:widowControl w:val="0"/>
      <w:autoSpaceDE w:val="0"/>
      <w:autoSpaceDN w:val="0"/>
      <w:adjustRightInd w:val="0"/>
    </w:pPr>
    <w:rPr>
      <w:b/>
      <w:bCs/>
      <w:lang w:val="ru-RU" w:eastAsia="ru-RU"/>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4807A3"/>
    <w:pPr>
      <w:tabs>
        <w:tab w:val="center" w:pos="4677"/>
        <w:tab w:val="right" w:pos="9355"/>
      </w:tabs>
    </w:pPr>
    <w:rPr>
      <w:lang w:val="uk-UA"/>
    </w:rPr>
  </w:style>
  <w:style w:type="table" w:styleId="Tabel-Gitter">
    <w:name w:val="Table Grid"/>
    <w:basedOn w:val="Tabel-Normal"/>
    <w:rsid w:val="00097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Normal"/>
    <w:link w:val="TitelTegn"/>
    <w:qFormat/>
    <w:rsid w:val="00D43033"/>
    <w:pPr>
      <w:widowControl/>
      <w:autoSpaceDE/>
      <w:autoSpaceDN/>
      <w:adjustRightInd/>
      <w:jc w:val="center"/>
    </w:pPr>
    <w:rPr>
      <w:bCs w:val="0"/>
      <w:sz w:val="32"/>
      <w:lang w:val="uk-UA"/>
    </w:rPr>
  </w:style>
  <w:style w:type="paragraph" w:customStyle="1" w:styleId="a">
    <w:basedOn w:val="Normal"/>
    <w:rsid w:val="002B2E83"/>
    <w:pPr>
      <w:widowControl/>
      <w:autoSpaceDE/>
      <w:autoSpaceDN/>
      <w:adjustRightInd/>
    </w:pPr>
    <w:rPr>
      <w:rFonts w:ascii="Verdana" w:hAnsi="Verdana" w:cs="Verdana"/>
      <w:b w:val="0"/>
      <w:bCs w:val="0"/>
      <w:lang w:val="en-US" w:eastAsia="en-US"/>
    </w:rPr>
  </w:style>
  <w:style w:type="paragraph" w:styleId="Markeringsbobletekst">
    <w:name w:val="Balloon Text"/>
    <w:basedOn w:val="Normal"/>
    <w:semiHidden/>
    <w:rsid w:val="00AA04B4"/>
    <w:rPr>
      <w:rFonts w:ascii="Tahoma" w:hAnsi="Tahoma" w:cs="Tahoma"/>
      <w:sz w:val="16"/>
      <w:szCs w:val="16"/>
    </w:rPr>
  </w:style>
  <w:style w:type="paragraph" w:customStyle="1" w:styleId="a0">
    <w:name w:val="Знак Знак Знак Знак Знак Знак Знак Знак Знак Знак Знак Знак Знак Знак Знак Знак Знак Знак Знак Знак Знак"/>
    <w:basedOn w:val="Normal"/>
    <w:rsid w:val="001A3169"/>
    <w:pPr>
      <w:widowControl/>
      <w:autoSpaceDE/>
      <w:autoSpaceDN/>
      <w:adjustRightInd/>
    </w:pPr>
    <w:rPr>
      <w:rFonts w:ascii="Verdana" w:hAnsi="Verdana" w:cs="Verdana"/>
      <w:b w:val="0"/>
      <w:bCs w:val="0"/>
      <w:lang w:val="en-US" w:eastAsia="en-US"/>
    </w:rPr>
  </w:style>
  <w:style w:type="paragraph" w:customStyle="1" w:styleId="1">
    <w:name w:val="Знак Знак1 Знак"/>
    <w:basedOn w:val="Normal"/>
    <w:rsid w:val="003D79A2"/>
    <w:pPr>
      <w:widowControl/>
      <w:autoSpaceDE/>
      <w:autoSpaceDN/>
      <w:adjustRightInd/>
    </w:pPr>
    <w:rPr>
      <w:rFonts w:ascii="Verdana" w:hAnsi="Verdana" w:cs="Verdana"/>
      <w:b w:val="0"/>
      <w:bCs w:val="0"/>
      <w:lang w:val="en-US" w:eastAsia="en-US"/>
    </w:rPr>
  </w:style>
  <w:style w:type="character" w:customStyle="1" w:styleId="hps">
    <w:name w:val="hps"/>
    <w:basedOn w:val="Standardskrifttypeiafsnit"/>
    <w:rsid w:val="00E22231"/>
  </w:style>
  <w:style w:type="paragraph" w:customStyle="1" w:styleId="10">
    <w:name w:val="Абзац списка1"/>
    <w:basedOn w:val="Normal"/>
    <w:rsid w:val="00977EE3"/>
    <w:pPr>
      <w:widowControl/>
      <w:autoSpaceDE/>
      <w:autoSpaceDN/>
      <w:adjustRightInd/>
      <w:ind w:left="720"/>
    </w:pPr>
    <w:rPr>
      <w:b w:val="0"/>
      <w:bCs w:val="0"/>
      <w:sz w:val="24"/>
      <w:szCs w:val="24"/>
    </w:rPr>
  </w:style>
  <w:style w:type="paragraph" w:customStyle="1" w:styleId="11">
    <w:name w:val="Знак Знак1"/>
    <w:basedOn w:val="Normal"/>
    <w:rsid w:val="00B6282E"/>
    <w:pPr>
      <w:widowControl/>
      <w:autoSpaceDE/>
      <w:autoSpaceDN/>
      <w:adjustRightInd/>
    </w:pPr>
    <w:rPr>
      <w:rFonts w:ascii="Verdana" w:hAnsi="Verdana" w:cs="Verdana"/>
      <w:b w:val="0"/>
      <w:bCs w:val="0"/>
      <w:lang w:val="en-US" w:eastAsia="en-US"/>
    </w:rPr>
  </w:style>
  <w:style w:type="character" w:customStyle="1" w:styleId="TitelTegn">
    <w:name w:val="Titel Tegn"/>
    <w:basedOn w:val="Standardskrifttypeiafsnit"/>
    <w:link w:val="Titel"/>
    <w:locked/>
    <w:rsid w:val="007A3E8B"/>
    <w:rPr>
      <w:b/>
      <w:sz w:val="32"/>
      <w:lang w:eastAsia="ru-RU"/>
    </w:rPr>
  </w:style>
  <w:style w:type="paragraph" w:customStyle="1" w:styleId="12">
    <w:name w:val="Обычный1"/>
    <w:rsid w:val="007A3E8B"/>
    <w:pPr>
      <w:widowControl w:val="0"/>
    </w:pPr>
    <w:rPr>
      <w:lang w:val="ru-RU" w:eastAsia="ru-RU"/>
    </w:rPr>
  </w:style>
  <w:style w:type="paragraph" w:customStyle="1" w:styleId="13">
    <w:name w:val="Знак Знак1"/>
    <w:basedOn w:val="Normal"/>
    <w:rsid w:val="00553338"/>
    <w:pPr>
      <w:widowControl/>
      <w:autoSpaceDE/>
      <w:autoSpaceDN/>
      <w:adjustRightInd/>
    </w:pPr>
    <w:rPr>
      <w:rFonts w:ascii="Verdana" w:hAnsi="Verdana" w:cs="Verdana"/>
      <w:b w:val="0"/>
      <w:bCs w:val="0"/>
      <w:lang w:val="en-US" w:eastAsia="en-US"/>
    </w:rPr>
  </w:style>
  <w:style w:type="paragraph" w:customStyle="1" w:styleId="a1">
    <w:name w:val="Знак Знак Знак Знак Знак Знак Знак Знак Знак Знак Знак Знак Знак Знак"/>
    <w:basedOn w:val="Normal"/>
    <w:rsid w:val="007A20D7"/>
    <w:pPr>
      <w:widowControl/>
      <w:autoSpaceDE/>
      <w:autoSpaceDN/>
      <w:adjustRightInd/>
    </w:pPr>
    <w:rPr>
      <w:rFonts w:ascii="Verdana" w:hAnsi="Verdana" w:cs="Verdana"/>
      <w:b w:val="0"/>
      <w:bCs w:val="0"/>
      <w:lang w:val="en-US" w:eastAsia="en-US"/>
    </w:rPr>
  </w:style>
  <w:style w:type="paragraph" w:styleId="Ingenafstand">
    <w:name w:val="No Spacing"/>
    <w:uiPriority w:val="1"/>
    <w:qFormat/>
    <w:rsid w:val="007A20D7"/>
    <w:pPr>
      <w:jc w:val="both"/>
    </w:pPr>
    <w:rPr>
      <w:rFonts w:ascii="Charter" w:hAnsi="Charter"/>
      <w:sz w:val="22"/>
      <w:szCs w:val="24"/>
      <w:lang w:val="da-DK"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172"/>
    <w:pPr>
      <w:widowControl w:val="0"/>
      <w:autoSpaceDE w:val="0"/>
      <w:autoSpaceDN w:val="0"/>
      <w:adjustRightInd w:val="0"/>
    </w:pPr>
    <w:rPr>
      <w:b/>
      <w:bCs/>
      <w:lang w:val="ru-RU" w:eastAsia="ru-RU"/>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4807A3"/>
    <w:pPr>
      <w:tabs>
        <w:tab w:val="center" w:pos="4677"/>
        <w:tab w:val="right" w:pos="9355"/>
      </w:tabs>
    </w:pPr>
    <w:rPr>
      <w:lang w:val="uk-UA"/>
    </w:rPr>
  </w:style>
  <w:style w:type="table" w:styleId="Tabel-Gitter">
    <w:name w:val="Table Grid"/>
    <w:basedOn w:val="Tabel-Normal"/>
    <w:rsid w:val="00097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Normal"/>
    <w:link w:val="TitelTegn"/>
    <w:qFormat/>
    <w:rsid w:val="00D43033"/>
    <w:pPr>
      <w:widowControl/>
      <w:autoSpaceDE/>
      <w:autoSpaceDN/>
      <w:adjustRightInd/>
      <w:jc w:val="center"/>
    </w:pPr>
    <w:rPr>
      <w:bCs w:val="0"/>
      <w:sz w:val="32"/>
      <w:lang w:val="uk-UA"/>
    </w:rPr>
  </w:style>
  <w:style w:type="paragraph" w:customStyle="1" w:styleId="a">
    <w:basedOn w:val="Normal"/>
    <w:rsid w:val="002B2E83"/>
    <w:pPr>
      <w:widowControl/>
      <w:autoSpaceDE/>
      <w:autoSpaceDN/>
      <w:adjustRightInd/>
    </w:pPr>
    <w:rPr>
      <w:rFonts w:ascii="Verdana" w:hAnsi="Verdana" w:cs="Verdana"/>
      <w:b w:val="0"/>
      <w:bCs w:val="0"/>
      <w:lang w:val="en-US" w:eastAsia="en-US"/>
    </w:rPr>
  </w:style>
  <w:style w:type="paragraph" w:styleId="Markeringsbobletekst">
    <w:name w:val="Balloon Text"/>
    <w:basedOn w:val="Normal"/>
    <w:semiHidden/>
    <w:rsid w:val="00AA04B4"/>
    <w:rPr>
      <w:rFonts w:ascii="Tahoma" w:hAnsi="Tahoma" w:cs="Tahoma"/>
      <w:sz w:val="16"/>
      <w:szCs w:val="16"/>
    </w:rPr>
  </w:style>
  <w:style w:type="paragraph" w:customStyle="1" w:styleId="a0">
    <w:name w:val="Знак Знак Знак Знак Знак Знак Знак Знак Знак Знак Знак Знак Знак Знак Знак Знак Знак Знак Знак Знак Знак"/>
    <w:basedOn w:val="Normal"/>
    <w:rsid w:val="001A3169"/>
    <w:pPr>
      <w:widowControl/>
      <w:autoSpaceDE/>
      <w:autoSpaceDN/>
      <w:adjustRightInd/>
    </w:pPr>
    <w:rPr>
      <w:rFonts w:ascii="Verdana" w:hAnsi="Verdana" w:cs="Verdana"/>
      <w:b w:val="0"/>
      <w:bCs w:val="0"/>
      <w:lang w:val="en-US" w:eastAsia="en-US"/>
    </w:rPr>
  </w:style>
  <w:style w:type="paragraph" w:customStyle="1" w:styleId="1">
    <w:name w:val="Знак Знак1 Знак"/>
    <w:basedOn w:val="Normal"/>
    <w:rsid w:val="003D79A2"/>
    <w:pPr>
      <w:widowControl/>
      <w:autoSpaceDE/>
      <w:autoSpaceDN/>
      <w:adjustRightInd/>
    </w:pPr>
    <w:rPr>
      <w:rFonts w:ascii="Verdana" w:hAnsi="Verdana" w:cs="Verdana"/>
      <w:b w:val="0"/>
      <w:bCs w:val="0"/>
      <w:lang w:val="en-US" w:eastAsia="en-US"/>
    </w:rPr>
  </w:style>
  <w:style w:type="character" w:customStyle="1" w:styleId="hps">
    <w:name w:val="hps"/>
    <w:basedOn w:val="Standardskrifttypeiafsnit"/>
    <w:rsid w:val="00E22231"/>
  </w:style>
  <w:style w:type="paragraph" w:customStyle="1" w:styleId="10">
    <w:name w:val="Абзац списка1"/>
    <w:basedOn w:val="Normal"/>
    <w:rsid w:val="00977EE3"/>
    <w:pPr>
      <w:widowControl/>
      <w:autoSpaceDE/>
      <w:autoSpaceDN/>
      <w:adjustRightInd/>
      <w:ind w:left="720"/>
    </w:pPr>
    <w:rPr>
      <w:b w:val="0"/>
      <w:bCs w:val="0"/>
      <w:sz w:val="24"/>
      <w:szCs w:val="24"/>
    </w:rPr>
  </w:style>
  <w:style w:type="paragraph" w:customStyle="1" w:styleId="11">
    <w:name w:val="Знак Знак1"/>
    <w:basedOn w:val="Normal"/>
    <w:rsid w:val="00B6282E"/>
    <w:pPr>
      <w:widowControl/>
      <w:autoSpaceDE/>
      <w:autoSpaceDN/>
      <w:adjustRightInd/>
    </w:pPr>
    <w:rPr>
      <w:rFonts w:ascii="Verdana" w:hAnsi="Verdana" w:cs="Verdana"/>
      <w:b w:val="0"/>
      <w:bCs w:val="0"/>
      <w:lang w:val="en-US" w:eastAsia="en-US"/>
    </w:rPr>
  </w:style>
  <w:style w:type="character" w:customStyle="1" w:styleId="TitelTegn">
    <w:name w:val="Titel Tegn"/>
    <w:basedOn w:val="Standardskrifttypeiafsnit"/>
    <w:link w:val="Titel"/>
    <w:locked/>
    <w:rsid w:val="007A3E8B"/>
    <w:rPr>
      <w:b/>
      <w:sz w:val="32"/>
      <w:lang w:eastAsia="ru-RU"/>
    </w:rPr>
  </w:style>
  <w:style w:type="paragraph" w:customStyle="1" w:styleId="12">
    <w:name w:val="Обычный1"/>
    <w:rsid w:val="007A3E8B"/>
    <w:pPr>
      <w:widowControl w:val="0"/>
    </w:pPr>
    <w:rPr>
      <w:lang w:val="ru-RU" w:eastAsia="ru-RU"/>
    </w:rPr>
  </w:style>
  <w:style w:type="paragraph" w:customStyle="1" w:styleId="13">
    <w:name w:val="Знак Знак1"/>
    <w:basedOn w:val="Normal"/>
    <w:rsid w:val="00553338"/>
    <w:pPr>
      <w:widowControl/>
      <w:autoSpaceDE/>
      <w:autoSpaceDN/>
      <w:adjustRightInd/>
    </w:pPr>
    <w:rPr>
      <w:rFonts w:ascii="Verdana" w:hAnsi="Verdana" w:cs="Verdana"/>
      <w:b w:val="0"/>
      <w:bCs w:val="0"/>
      <w:lang w:val="en-US" w:eastAsia="en-US"/>
    </w:rPr>
  </w:style>
  <w:style w:type="paragraph" w:customStyle="1" w:styleId="a1">
    <w:name w:val="Знак Знак Знак Знак Знак Знак Знак Знак Знак Знак Знак Знак Знак Знак"/>
    <w:basedOn w:val="Normal"/>
    <w:rsid w:val="007A20D7"/>
    <w:pPr>
      <w:widowControl/>
      <w:autoSpaceDE/>
      <w:autoSpaceDN/>
      <w:adjustRightInd/>
    </w:pPr>
    <w:rPr>
      <w:rFonts w:ascii="Verdana" w:hAnsi="Verdana" w:cs="Verdana"/>
      <w:b w:val="0"/>
      <w:bCs w:val="0"/>
      <w:lang w:val="en-US" w:eastAsia="en-US"/>
    </w:rPr>
  </w:style>
  <w:style w:type="paragraph" w:styleId="Ingenafstand">
    <w:name w:val="No Spacing"/>
    <w:uiPriority w:val="1"/>
    <w:qFormat/>
    <w:rsid w:val="007A20D7"/>
    <w:pPr>
      <w:jc w:val="both"/>
    </w:pPr>
    <w:rPr>
      <w:rFonts w:ascii="Charter" w:hAnsi="Charter"/>
      <w:sz w:val="22"/>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46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4880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Додаток 2</vt:lpstr>
    </vt:vector>
  </TitlesOfParts>
  <Company>dcs</Company>
  <LinksUpToDate>false</LinksUpToDate>
  <CharactersWithSpaces>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2</dc:title>
  <dc:creator>user</dc:creator>
  <cp:lastModifiedBy>Movebar</cp:lastModifiedBy>
  <cp:revision>2</cp:revision>
  <cp:lastPrinted>2014-05-22T08:44:00Z</cp:lastPrinted>
  <dcterms:created xsi:type="dcterms:W3CDTF">2014-09-26T10:03:00Z</dcterms:created>
  <dcterms:modified xsi:type="dcterms:W3CDTF">2014-09-26T10:03:00Z</dcterms:modified>
</cp:coreProperties>
</file>