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B16" w:rsidRPr="00FE4B65" w:rsidRDefault="00E06B16" w:rsidP="006F4CB0">
      <w:pPr>
        <w:spacing w:before="100" w:beforeAutospacing="1" w:after="100" w:afterAutospacing="1"/>
        <w:rPr>
          <w:rFonts w:ascii="Times New Roman" w:hAnsi="Times New Roman"/>
          <w:sz w:val="32"/>
          <w:szCs w:val="32"/>
          <w:lang w:eastAsia="uk-UA"/>
        </w:rPr>
      </w:pPr>
      <w:r w:rsidRPr="00FE4B65">
        <w:rPr>
          <w:color w:val="1F497D"/>
        </w:rPr>
        <w:t xml:space="preserve">Звіт з якості OFAT: </w:t>
      </w:r>
      <w:hyperlink r:id="rId5" w:tgtFrame="_blank" w:history="1">
        <w:r w:rsidRPr="00FE4B65">
          <w:rPr>
            <w:rStyle w:val="Hyperlink"/>
          </w:rPr>
          <w:t>http://www.dst.dk/en/Statistik/dokumentation/declarations/danish-foreign-affiliates</w:t>
        </w:r>
      </w:hyperlink>
    </w:p>
    <w:p w:rsidR="00E06B16" w:rsidRPr="00FE4B65" w:rsidRDefault="00E06B16" w:rsidP="00956ED2">
      <w:pPr>
        <w:spacing w:before="100" w:beforeAutospacing="1" w:after="100" w:afterAutospacing="1" w:line="240" w:lineRule="auto"/>
        <w:jc w:val="center"/>
        <w:outlineLvl w:val="0"/>
        <w:rPr>
          <w:rFonts w:ascii="Times New Roman" w:hAnsi="Times New Roman"/>
          <w:b/>
          <w:bCs/>
          <w:kern w:val="36"/>
          <w:sz w:val="24"/>
          <w:szCs w:val="24"/>
          <w:lang w:eastAsia="uk-UA"/>
        </w:rPr>
      </w:pPr>
      <w:r w:rsidRPr="00FE4B65">
        <w:rPr>
          <w:rFonts w:ascii="Times New Roman" w:hAnsi="Times New Roman"/>
          <w:b/>
          <w:bCs/>
          <w:kern w:val="36"/>
          <w:sz w:val="24"/>
          <w:szCs w:val="24"/>
          <w:lang w:eastAsia="uk-UA"/>
        </w:rPr>
        <w:t>Датські іноземні філії</w:t>
      </w:r>
    </w:p>
    <w:p w:rsidR="00E06B16" w:rsidRPr="00FE4B65" w:rsidRDefault="00E06B16">
      <w:pPr>
        <w:rPr>
          <w:rFonts w:ascii="Times New Roman" w:hAnsi="Times New Roman"/>
          <w:sz w:val="24"/>
          <w:szCs w:val="24"/>
        </w:rPr>
      </w:pPr>
      <w:r w:rsidRPr="00FE4B65">
        <w:rPr>
          <w:rFonts w:ascii="Times New Roman" w:hAnsi="Times New Roman"/>
          <w:sz w:val="24"/>
          <w:szCs w:val="24"/>
        </w:rPr>
        <w:t>Метою цієї області статистики є пролити світло на діяльність датських підприємств за кордоном через їхні контрольовані філії. Отже, ця статистика робить значний внесок до характеристики глобалізації, що набуває дедалі більшої важливості для розвитку економіки та суспільства Данії. Датські іноземні філії охоплюються щорічним обстеженням, вперше проведеним за 2007 рік.</w:t>
      </w:r>
    </w:p>
    <w:p w:rsidR="00E06B16" w:rsidRPr="00FE4B65" w:rsidRDefault="00E06B16" w:rsidP="00564294">
      <w:pPr>
        <w:pStyle w:val="Heading1"/>
        <w:jc w:val="center"/>
        <w:rPr>
          <w:sz w:val="24"/>
          <w:szCs w:val="24"/>
        </w:rPr>
      </w:pPr>
      <w:r w:rsidRPr="00FE4B65">
        <w:rPr>
          <w:sz w:val="24"/>
          <w:szCs w:val="24"/>
        </w:rPr>
        <w:t>Область статистики</w:t>
      </w:r>
    </w:p>
    <w:p w:rsidR="00E06B16" w:rsidRPr="00FE4B65" w:rsidRDefault="00E06B16" w:rsidP="00956ED2">
      <w:pPr>
        <w:pStyle w:val="NormalWeb"/>
        <w:spacing w:before="0" w:beforeAutospacing="0" w:after="0" w:afterAutospacing="0"/>
      </w:pPr>
      <w:r w:rsidRPr="00FE4B65">
        <w:t xml:space="preserve">Область цієї статистики лежить у площині іноземних філій датських підприємств. Охоплені показники включають місцезнаходження (країну), вид діяльності (галузь) та кількість працівників.  </w:t>
      </w:r>
    </w:p>
    <w:p w:rsidR="00E06B16" w:rsidRPr="00FE4B65" w:rsidRDefault="00E06B16" w:rsidP="00956ED2">
      <w:pPr>
        <w:pStyle w:val="NormalWeb"/>
        <w:spacing w:before="0" w:beforeAutospacing="0" w:after="0" w:afterAutospacing="0"/>
      </w:pPr>
      <w:r w:rsidRPr="00FE4B65">
        <w:t xml:space="preserve">Статистична одиниця обстеження. Статистичною одиницею обстеження датських іноземних філій є іноземна філія. Статистика має справу з філіями, та будь-якими похідними філіями з місцезнаходженням поза територією Данії, які належать/контролюються (прямо чи опосередковано) датським підприємством (материнською компанією). Вважається, що материнська компанія має право контролю, якщо вона прямо чи опосередковано володіє 50% або більше відсотками акцій/голосів та/або має визначальний вплив на діяльність філії.     </w:t>
      </w:r>
    </w:p>
    <w:p w:rsidR="00E06B16" w:rsidRPr="00FE4B65" w:rsidRDefault="00E06B16" w:rsidP="00956ED2">
      <w:pPr>
        <w:pStyle w:val="NormalWeb"/>
        <w:spacing w:before="0" w:beforeAutospacing="0" w:after="0" w:afterAutospacing="0"/>
      </w:pPr>
      <w:r w:rsidRPr="00FE4B65">
        <w:t xml:space="preserve">Звітна одиниця. Звітною одиницею датських іноземних філій є датське підприємство, що прямо володіє однією або більшою кількістю філій. Це означає, що обстеження також охоплює іноземні філії, які, через датське підприємство, мають кінцеву контролюючу одиницю за кордоном.  </w:t>
      </w:r>
    </w:p>
    <w:p w:rsidR="00E06B16" w:rsidRPr="00FE4B65" w:rsidRDefault="00E06B16" w:rsidP="00956ED2">
      <w:pPr>
        <w:pStyle w:val="Heading2"/>
        <w:spacing w:before="0" w:line="240" w:lineRule="auto"/>
      </w:pPr>
    </w:p>
    <w:p w:rsidR="00E06B16" w:rsidRPr="00FE4B65" w:rsidRDefault="00E06B16" w:rsidP="00956ED2">
      <w:pPr>
        <w:pStyle w:val="Heading2"/>
        <w:spacing w:before="0" w:line="240" w:lineRule="auto"/>
      </w:pPr>
      <w:r w:rsidRPr="00FE4B65">
        <w:t>Характеристика даних</w:t>
      </w:r>
    </w:p>
    <w:p w:rsidR="00E06B16" w:rsidRPr="00FE4B65" w:rsidRDefault="00E06B16" w:rsidP="00956ED2">
      <w:pPr>
        <w:pStyle w:val="NormalWeb"/>
        <w:spacing w:before="0" w:beforeAutospacing="0" w:after="0" w:afterAutospacing="0"/>
      </w:pPr>
      <w:r w:rsidRPr="00FE4B65">
        <w:t xml:space="preserve">Ця область статистики стосується іноземних філій датських підприємств. Охоплені показники включають місцезнаходження (країну), вид діяльності (галузь) та кількість працівників. Кількість працівників іноземної філії визначається як поособово, так і як середньорічне значення.  </w:t>
      </w:r>
    </w:p>
    <w:p w:rsidR="00E06B16" w:rsidRPr="00FE4B65" w:rsidRDefault="00E06B16" w:rsidP="00956ED2">
      <w:pPr>
        <w:pStyle w:val="Heading2"/>
        <w:spacing w:before="0" w:line="240" w:lineRule="auto"/>
      </w:pPr>
    </w:p>
    <w:p w:rsidR="00E06B16" w:rsidRPr="00FE4B65" w:rsidRDefault="00E06B16" w:rsidP="00956ED2">
      <w:pPr>
        <w:pStyle w:val="Heading2"/>
        <w:spacing w:before="0" w:line="240" w:lineRule="auto"/>
      </w:pPr>
      <w:r w:rsidRPr="00FE4B65">
        <w:t>Система класифікації</w:t>
      </w:r>
    </w:p>
    <w:p w:rsidR="00E06B16" w:rsidRPr="00FE4B65" w:rsidRDefault="00E06B16" w:rsidP="00956ED2">
      <w:pPr>
        <w:pStyle w:val="NormalWeb"/>
        <w:spacing w:before="0" w:beforeAutospacing="0" w:after="0" w:afterAutospacing="0"/>
      </w:pPr>
      <w:r w:rsidRPr="00FE4B65">
        <w:t xml:space="preserve">Дані про іноземні філії Данії публікуються з деталізацією за: - Окремими країнами – Міжнародними географічними регіонами – Основними видами діяльності (на основі датського кодування видів діяльності за 2007 рік  (DB07) 10-основні групування) </w:t>
      </w:r>
      <w:hyperlink r:id="rId6" w:history="1">
        <w:r w:rsidRPr="00FE4B65">
          <w:rPr>
            <w:rStyle w:val="Hyperlink"/>
          </w:rPr>
          <w:t>Датський код видів діяльності 2007 рік (датською мовою)</w:t>
        </w:r>
      </w:hyperlink>
    </w:p>
    <w:p w:rsidR="00E06B16" w:rsidRPr="00FE4B65" w:rsidRDefault="00E06B16" w:rsidP="00956ED2">
      <w:pPr>
        <w:pStyle w:val="Heading2"/>
        <w:spacing w:before="0" w:line="240" w:lineRule="auto"/>
      </w:pPr>
    </w:p>
    <w:p w:rsidR="00E06B16" w:rsidRPr="00FE4B65" w:rsidRDefault="00E06B16" w:rsidP="00956ED2">
      <w:pPr>
        <w:pStyle w:val="Heading2"/>
        <w:spacing w:before="0" w:line="240" w:lineRule="auto"/>
      </w:pPr>
      <w:r w:rsidRPr="00FE4B65">
        <w:t>Секторне охоплення</w:t>
      </w:r>
    </w:p>
    <w:p w:rsidR="00E06B16" w:rsidRPr="00FE4B65" w:rsidRDefault="00E06B16" w:rsidP="00956ED2">
      <w:pPr>
        <w:pStyle w:val="NormalWeb"/>
        <w:spacing w:before="0" w:beforeAutospacing="0" w:after="0" w:afterAutospacing="0"/>
      </w:pPr>
      <w:r w:rsidRPr="00FE4B65">
        <w:t xml:space="preserve">Ця область статистики охоплює іноземні філії в приватному комерційному секторі, і це також відбивається на охопленні видів діяльності звітних одиниць Данії.  </w:t>
      </w:r>
    </w:p>
    <w:p w:rsidR="00E06B16" w:rsidRPr="00FE4B65" w:rsidRDefault="00E06B16" w:rsidP="00956ED2">
      <w:pPr>
        <w:pStyle w:val="Heading2"/>
        <w:spacing w:before="0" w:line="240" w:lineRule="auto"/>
      </w:pPr>
    </w:p>
    <w:p w:rsidR="00E06B16" w:rsidRPr="00FE4B65" w:rsidRDefault="00E06B16" w:rsidP="00956ED2">
      <w:pPr>
        <w:pStyle w:val="Heading2"/>
        <w:spacing w:before="0" w:line="240" w:lineRule="auto"/>
      </w:pPr>
      <w:r w:rsidRPr="00FE4B65">
        <w:t>Статистичні концепції та визначення</w:t>
      </w:r>
    </w:p>
    <w:p w:rsidR="00E06B16" w:rsidRPr="00FE4B65" w:rsidRDefault="00E06B16" w:rsidP="00956ED2">
      <w:pPr>
        <w:pStyle w:val="NormalWeb"/>
        <w:spacing w:before="0" w:beforeAutospacing="0" w:after="0" w:afterAutospacing="0"/>
      </w:pPr>
      <w:r w:rsidRPr="00FE4B65">
        <w:t>Філія: Філія визначається як незалежна та автономна одиниця, наприклад, з правом власного керівництва, можливістю наймати/звільнювати свій персонал, надавати свій власний річний звіт тощо. (Відділення тут не розглядається як іноземна філія, оскільки воно є  лише «подовженою кінцівкою» іншого підприємства).</w:t>
      </w:r>
    </w:p>
    <w:p w:rsidR="00E06B16" w:rsidRPr="00FE4B65" w:rsidRDefault="00E06B16" w:rsidP="00956ED2">
      <w:pPr>
        <w:pStyle w:val="NormalWeb"/>
        <w:spacing w:before="0" w:beforeAutospacing="0" w:after="0" w:afterAutospacing="0"/>
      </w:pPr>
      <w:r w:rsidRPr="00FE4B65">
        <w:t xml:space="preserve">Контроль: Вважається, що «контроль» має місце, коли у певної одиниці є можливість поширювати визначальний вплив на діяльність філії. Це відбувається, коли зазначена одиниця володіє або контролює (прямо/опосередковано) 50% або більше відсотків акцій/голосів філії. (Статистика працює з поняттям «філія» в річному звіті (на противагу до понять «асоційований» або «дольова участь в компанії»); це означає, що філія вважається частиною групи підприємств).  </w:t>
      </w:r>
    </w:p>
    <w:p w:rsidR="00E06B16" w:rsidRPr="00FE4B65" w:rsidRDefault="00E06B16" w:rsidP="00956ED2">
      <w:pPr>
        <w:pStyle w:val="NormalWeb"/>
        <w:spacing w:before="0" w:beforeAutospacing="0" w:after="0" w:afterAutospacing="0"/>
      </w:pPr>
      <w:r w:rsidRPr="00FE4B65">
        <w:t xml:space="preserve">Прямий/опосередкований контроль: Прямий контроль досягається, коли має місце володіння або контроль деякою компанією 50% або більше відсотків акцій/голосів, наприклад, підприємства (А). Опосередкований контроль досягається, коли має місце володіння або контроль 50% або більше відсотків акцій/голосів, наприклад, підприємства (А), і це підприємство (А), в свою чергу, володіє 50% або більше відсотків акцій/голосів, наприклад, підприємства (Б). У результаті виходить, що деяка компанія володіє/контролює підприємство (А) прямо, а підприємство (Б) опосередковано. </w:t>
      </w:r>
    </w:p>
    <w:p w:rsidR="00E06B16" w:rsidRPr="00FE4B65" w:rsidRDefault="00E06B16" w:rsidP="00956ED2">
      <w:pPr>
        <w:pStyle w:val="NormalWeb"/>
        <w:spacing w:before="0" w:beforeAutospacing="0" w:after="0" w:afterAutospacing="0"/>
      </w:pPr>
      <w:r w:rsidRPr="00FE4B65">
        <w:t xml:space="preserve">Іноземне володіння: Філія повинна мати місцезнаходження поза територією Данії (Фарерські острови та Гренландія у цьому випадку не вважаються частиною Данії).   </w:t>
      </w:r>
    </w:p>
    <w:p w:rsidR="00E06B16" w:rsidRPr="00FE4B65" w:rsidRDefault="00E06B16" w:rsidP="00956ED2">
      <w:pPr>
        <w:pStyle w:val="NormalWeb"/>
        <w:spacing w:before="0" w:beforeAutospacing="0" w:after="0" w:afterAutospacing="0"/>
      </w:pPr>
      <w:r w:rsidRPr="00FE4B65">
        <w:t xml:space="preserve">Іноземні філії: Статистика включає філії, що не контролюються материнською компанією та не розташовані у Данії. Вважається, що материнська компанія має право контролю, якщо вона, прямо чи опосередковано, володіє понад 50% акцій/голосів або має визначальний вплив.  </w:t>
      </w:r>
    </w:p>
    <w:p w:rsidR="00E06B16" w:rsidRPr="00FE4B65" w:rsidRDefault="00E06B16" w:rsidP="00956ED2">
      <w:pPr>
        <w:pStyle w:val="NormalWeb"/>
        <w:spacing w:before="0" w:beforeAutospacing="0" w:after="0" w:afterAutospacing="0"/>
      </w:pPr>
      <w:r w:rsidRPr="00FE4B65">
        <w:t>Материнська компанія. Компанія, яка здатна контролювати одну або більше нижче розміщених філій.</w:t>
      </w:r>
    </w:p>
    <w:p w:rsidR="00E06B16" w:rsidRPr="00FE4B65" w:rsidRDefault="00E06B16" w:rsidP="00956ED2">
      <w:pPr>
        <w:pStyle w:val="Heading2"/>
        <w:spacing w:before="0" w:line="240" w:lineRule="auto"/>
      </w:pPr>
    </w:p>
    <w:p w:rsidR="00E06B16" w:rsidRPr="00FE4B65" w:rsidRDefault="00E06B16" w:rsidP="00956ED2">
      <w:pPr>
        <w:pStyle w:val="Heading2"/>
        <w:spacing w:before="0" w:line="240" w:lineRule="auto"/>
      </w:pPr>
      <w:r w:rsidRPr="00FE4B65">
        <w:t>Статистична одиниця</w:t>
      </w:r>
    </w:p>
    <w:p w:rsidR="00E06B16" w:rsidRPr="00FE4B65" w:rsidRDefault="00E06B16" w:rsidP="00956ED2">
      <w:pPr>
        <w:pStyle w:val="NormalWeb"/>
        <w:spacing w:before="0" w:beforeAutospacing="0" w:after="0" w:afterAutospacing="0"/>
      </w:pPr>
      <w:r w:rsidRPr="00FE4B65">
        <w:rPr>
          <w:rStyle w:val="Strong"/>
        </w:rPr>
        <w:t>Статистична одиниця</w:t>
      </w:r>
      <w:r w:rsidRPr="00FE4B65">
        <w:t xml:space="preserve"> Статистична одиниця для визначення датських іноземних філій є іноземною філією. Статистика охоплює філії та будь-які похідні філії, які знаходяться  поза територією Данії та належать/контролюються (прямо/опосередковано) датським підприємством (материнською компанією). Вважається, що материнська компанія має право контролю, якщо вона прямо чи опосередковано володіє 50% або більше відсотками акцій/голосів та/або має визначальний вплив на філію.  </w:t>
      </w:r>
    </w:p>
    <w:p w:rsidR="00E06B16" w:rsidRPr="00FE4B65" w:rsidRDefault="00E06B16" w:rsidP="00956ED2">
      <w:pPr>
        <w:pStyle w:val="NormalWeb"/>
        <w:spacing w:before="0" w:beforeAutospacing="0" w:after="0" w:afterAutospacing="0"/>
      </w:pPr>
      <w:r w:rsidRPr="00FE4B65">
        <w:rPr>
          <w:rStyle w:val="Strong"/>
        </w:rPr>
        <w:t>Звітна одиниця</w:t>
      </w:r>
      <w:r w:rsidRPr="00FE4B65">
        <w:t xml:space="preserve"> Звітною одиницею датських іноземних філій є датське підприємство, яка володіє прямо однією або більше філіями. Це означає, що обстеження також охоплює іноземні філії, які, через датське підприємство, остаточно контролюються за кордоном.</w:t>
      </w:r>
    </w:p>
    <w:p w:rsidR="00E06B16" w:rsidRPr="00FE4B65" w:rsidRDefault="00E06B16" w:rsidP="00956ED2">
      <w:pPr>
        <w:pStyle w:val="Heading2"/>
        <w:spacing w:before="0" w:line="240" w:lineRule="auto"/>
      </w:pPr>
    </w:p>
    <w:p w:rsidR="00E06B16" w:rsidRPr="00FE4B65" w:rsidRDefault="00E06B16" w:rsidP="00956ED2">
      <w:pPr>
        <w:pStyle w:val="Heading2"/>
        <w:spacing w:before="0" w:line="240" w:lineRule="auto"/>
      </w:pPr>
      <w:r w:rsidRPr="00FE4B65">
        <w:t>Статистична сукупність</w:t>
      </w:r>
    </w:p>
    <w:p w:rsidR="00E06B16" w:rsidRPr="00FE4B65" w:rsidRDefault="00E06B16" w:rsidP="00956ED2">
      <w:pPr>
        <w:pStyle w:val="NormalWeb"/>
        <w:spacing w:before="0" w:beforeAutospacing="0" w:after="0" w:afterAutospacing="0"/>
      </w:pPr>
      <w:r w:rsidRPr="00FE4B65">
        <w:t>Починаючи з 2010 року й далі, статистика охоплює іноземні філії у приватному несільськогосподарському комерційному секторі, тобто види діяльності 05-09, 10-39, 41-43, 45-47, 49-53, 55-56, 58-63, 64-66, 68, 69-75, 77-83, 85, 86-88, 90-93 та 94-96 за NACE Ред. 2. Впродовж 2007-2009 років статистика охоплювала іноземні філії у приватному комерційному секторі, тобто види діяльності 10-14, 15-37, 40, 41, 45, 50-52, 55, 60-64, 65-67, 70-74, 80, 85 та 90-93 за NACE Ред.1.1. Вищезазначені охоплені види діяльності також відображають поріг відсікання видів діяльності для звітних одиниць Данії. Такого порогу відсікання не існує для обстеження материнських компаній або філій.</w:t>
      </w:r>
    </w:p>
    <w:p w:rsidR="00E06B16" w:rsidRPr="00FE4B65" w:rsidRDefault="00E06B16" w:rsidP="00956ED2">
      <w:pPr>
        <w:pStyle w:val="Heading2"/>
        <w:spacing w:before="0" w:line="240" w:lineRule="auto"/>
      </w:pPr>
    </w:p>
    <w:p w:rsidR="00E06B16" w:rsidRPr="00FE4B65" w:rsidRDefault="00E06B16" w:rsidP="00956ED2">
      <w:pPr>
        <w:pStyle w:val="Heading2"/>
        <w:spacing w:before="0" w:line="240" w:lineRule="auto"/>
      </w:pPr>
      <w:r w:rsidRPr="00FE4B65">
        <w:t>Еталонна територія</w:t>
      </w:r>
    </w:p>
    <w:p w:rsidR="00E06B16" w:rsidRPr="00FE4B65" w:rsidRDefault="00E06B16" w:rsidP="00956ED2">
      <w:pPr>
        <w:pStyle w:val="NormalWeb"/>
        <w:spacing w:before="0" w:beforeAutospacing="0" w:after="0" w:afterAutospacing="0"/>
      </w:pPr>
      <w:r w:rsidRPr="00FE4B65">
        <w:t>Статистична одиниця (іноземна філія) розташована за межами Данії. Звітна одиниця (датське підприємство) розташоване всередині Данії.</w:t>
      </w:r>
    </w:p>
    <w:p w:rsidR="00E06B16" w:rsidRPr="00FE4B65" w:rsidRDefault="00E06B16" w:rsidP="00956ED2">
      <w:pPr>
        <w:pStyle w:val="Heading2"/>
        <w:spacing w:before="0" w:line="240" w:lineRule="auto"/>
      </w:pPr>
    </w:p>
    <w:p w:rsidR="00E06B16" w:rsidRPr="00FE4B65" w:rsidRDefault="00E06B16" w:rsidP="00956ED2">
      <w:pPr>
        <w:pStyle w:val="Heading2"/>
        <w:spacing w:before="0" w:line="240" w:lineRule="auto"/>
      </w:pPr>
      <w:r w:rsidRPr="00FE4B65">
        <w:t>Часове охоплення</w:t>
      </w:r>
    </w:p>
    <w:p w:rsidR="00E06B16" w:rsidRPr="00FE4B65" w:rsidRDefault="00E06B16" w:rsidP="00956ED2">
      <w:pPr>
        <w:pStyle w:val="NormalWeb"/>
        <w:spacing w:before="0" w:beforeAutospacing="0" w:after="0" w:afterAutospacing="0"/>
      </w:pPr>
      <w:r w:rsidRPr="00FE4B65">
        <w:t>2007 р. -</w:t>
      </w:r>
    </w:p>
    <w:p w:rsidR="00E06B16" w:rsidRPr="00FE4B65" w:rsidRDefault="00E06B16" w:rsidP="00956ED2">
      <w:pPr>
        <w:pStyle w:val="Heading2"/>
        <w:spacing w:before="0" w:line="240" w:lineRule="auto"/>
      </w:pPr>
    </w:p>
    <w:p w:rsidR="00E06B16" w:rsidRPr="00FE4B65" w:rsidRDefault="00E06B16" w:rsidP="00956ED2">
      <w:pPr>
        <w:pStyle w:val="Heading2"/>
        <w:spacing w:before="0" w:line="240" w:lineRule="auto"/>
      </w:pPr>
      <w:r w:rsidRPr="00FE4B65">
        <w:t>Базисний період</w:t>
      </w:r>
    </w:p>
    <w:p w:rsidR="00E06B16" w:rsidRPr="00FE4B65" w:rsidRDefault="00E06B16" w:rsidP="00956ED2">
      <w:pPr>
        <w:pStyle w:val="NormalWeb"/>
        <w:spacing w:before="0" w:beforeAutospacing="0" w:after="0" w:afterAutospacing="0"/>
      </w:pPr>
      <w:r w:rsidRPr="00FE4B65">
        <w:t>Не застосовується для цієї області статистики.</w:t>
      </w:r>
    </w:p>
    <w:p w:rsidR="00E06B16" w:rsidRPr="00FE4B65" w:rsidRDefault="00E06B16" w:rsidP="00956ED2">
      <w:pPr>
        <w:pStyle w:val="Heading2"/>
        <w:spacing w:before="0" w:line="240" w:lineRule="auto"/>
      </w:pPr>
    </w:p>
    <w:p w:rsidR="00E06B16" w:rsidRPr="00FE4B65" w:rsidRDefault="00E06B16" w:rsidP="00956ED2">
      <w:pPr>
        <w:pStyle w:val="Heading2"/>
        <w:spacing w:before="0" w:line="240" w:lineRule="auto"/>
      </w:pPr>
      <w:r w:rsidRPr="00FE4B65">
        <w:t>Одиниця вимірювання</w:t>
      </w:r>
    </w:p>
    <w:p w:rsidR="00E06B16" w:rsidRPr="00FE4B65" w:rsidRDefault="00E06B16" w:rsidP="00956ED2">
      <w:pPr>
        <w:pStyle w:val="NormalWeb"/>
        <w:spacing w:before="0" w:beforeAutospacing="0" w:after="0" w:afterAutospacing="0"/>
      </w:pPr>
      <w:r w:rsidRPr="00FE4B65">
        <w:t>Кількість датських іноземних філій Кількість працівників (1.000)</w:t>
      </w:r>
    </w:p>
    <w:p w:rsidR="00E06B16" w:rsidRPr="00FE4B65" w:rsidRDefault="00E06B16" w:rsidP="00956ED2">
      <w:pPr>
        <w:pStyle w:val="Heading2"/>
        <w:spacing w:before="0" w:line="240" w:lineRule="auto"/>
      </w:pPr>
    </w:p>
    <w:p w:rsidR="00E06B16" w:rsidRPr="00FE4B65" w:rsidRDefault="00E06B16" w:rsidP="00956ED2">
      <w:pPr>
        <w:pStyle w:val="Heading2"/>
        <w:spacing w:before="0" w:line="240" w:lineRule="auto"/>
      </w:pPr>
      <w:r w:rsidRPr="00FE4B65">
        <w:t>Еталонний період</w:t>
      </w:r>
    </w:p>
    <w:p w:rsidR="00E06B16" w:rsidRPr="00FE4B65" w:rsidRDefault="00E06B16" w:rsidP="00956ED2">
      <w:pPr>
        <w:pStyle w:val="NormalWeb"/>
        <w:spacing w:before="0" w:beforeAutospacing="0" w:after="0" w:afterAutospacing="0"/>
      </w:pPr>
      <w:r w:rsidRPr="00FE4B65">
        <w:t>2012 р.</w:t>
      </w:r>
    </w:p>
    <w:p w:rsidR="00E06B16" w:rsidRPr="00FE4B65" w:rsidRDefault="00E06B16" w:rsidP="00956ED2">
      <w:pPr>
        <w:pStyle w:val="Heading2"/>
        <w:spacing w:before="0" w:line="240" w:lineRule="auto"/>
      </w:pPr>
    </w:p>
    <w:p w:rsidR="00E06B16" w:rsidRPr="00FE4B65" w:rsidRDefault="00E06B16" w:rsidP="00956ED2">
      <w:pPr>
        <w:pStyle w:val="Heading2"/>
        <w:spacing w:before="0" w:line="240" w:lineRule="auto"/>
      </w:pPr>
      <w:r w:rsidRPr="00FE4B65">
        <w:t>Періодичність публікацій</w:t>
      </w:r>
    </w:p>
    <w:p w:rsidR="00E06B16" w:rsidRPr="00FE4B65" w:rsidRDefault="00E06B16" w:rsidP="00956ED2">
      <w:pPr>
        <w:pStyle w:val="NormalWeb"/>
        <w:spacing w:before="0" w:beforeAutospacing="0" w:after="0" w:afterAutospacing="0"/>
      </w:pPr>
      <w:r w:rsidRPr="00FE4B65">
        <w:t>Обстеження датських іноземних філій є річним, і результати його публікуються щороку.</w:t>
      </w:r>
    </w:p>
    <w:p w:rsidR="00E06B16" w:rsidRPr="00FE4B65" w:rsidRDefault="00E06B16" w:rsidP="00956ED2">
      <w:pPr>
        <w:pStyle w:val="Heading2"/>
        <w:spacing w:before="0" w:line="240" w:lineRule="auto"/>
      </w:pPr>
    </w:p>
    <w:p w:rsidR="00E06B16" w:rsidRPr="00FE4B65" w:rsidRDefault="00E06B16" w:rsidP="00956ED2">
      <w:pPr>
        <w:pStyle w:val="Heading2"/>
        <w:spacing w:before="0" w:line="240" w:lineRule="auto"/>
      </w:pPr>
      <w:r w:rsidRPr="00FE4B65">
        <w:t>Законодавчі акти та інші домовленості</w:t>
      </w:r>
    </w:p>
    <w:p w:rsidR="00E06B16" w:rsidRPr="00FE4B65" w:rsidRDefault="00E06B16" w:rsidP="00956ED2">
      <w:pPr>
        <w:pStyle w:val="NormalWeb"/>
        <w:spacing w:before="0" w:beforeAutospacing="0" w:after="0" w:afterAutospacing="0"/>
      </w:pPr>
      <w:r w:rsidRPr="00FE4B65">
        <w:t xml:space="preserve">Закон про статистику Данії, § 8, розділ 1. Регламент (ЄС) № 716/2007 Європейського Парламенту і Ради від 20 червня 2007 року про статистику Співтовариства щодо структури та діяльності іноземних філій.  </w:t>
      </w:r>
    </w:p>
    <w:p w:rsidR="00E06B16" w:rsidRPr="00FE4B65" w:rsidRDefault="00E06B16" w:rsidP="00956ED2">
      <w:pPr>
        <w:pStyle w:val="Heading2"/>
        <w:spacing w:before="0" w:line="240" w:lineRule="auto"/>
      </w:pPr>
    </w:p>
    <w:p w:rsidR="00E06B16" w:rsidRPr="00FE4B65" w:rsidRDefault="00E06B16" w:rsidP="00956ED2">
      <w:pPr>
        <w:pStyle w:val="Heading2"/>
        <w:spacing w:before="0" w:line="240" w:lineRule="auto"/>
      </w:pPr>
      <w:r w:rsidRPr="00FE4B65">
        <w:t>Витрати і навантаження</w:t>
      </w:r>
    </w:p>
    <w:p w:rsidR="00E06B16" w:rsidRPr="00FE4B65" w:rsidRDefault="00E06B16" w:rsidP="00956ED2">
      <w:pPr>
        <w:pStyle w:val="NormalWeb"/>
        <w:spacing w:before="0" w:beforeAutospacing="0" w:after="0" w:afterAutospacing="0"/>
      </w:pPr>
      <w:r w:rsidRPr="00FE4B65">
        <w:t>У 2014 році навантаження оцінюється в 1,3 мільйонів датських крон.</w:t>
      </w:r>
    </w:p>
    <w:p w:rsidR="00E06B16" w:rsidRPr="00FE4B65" w:rsidRDefault="00E06B16" w:rsidP="00956ED2">
      <w:pPr>
        <w:pStyle w:val="Heading2"/>
        <w:spacing w:before="0" w:line="240" w:lineRule="auto"/>
      </w:pPr>
    </w:p>
    <w:p w:rsidR="00E06B16" w:rsidRPr="00FE4B65" w:rsidRDefault="00E06B16" w:rsidP="00956ED2">
      <w:pPr>
        <w:pStyle w:val="Heading2"/>
        <w:spacing w:before="0" w:line="240" w:lineRule="auto"/>
      </w:pPr>
      <w:r w:rsidRPr="00FE4B65">
        <w:t>Коментарі</w:t>
      </w:r>
    </w:p>
    <w:p w:rsidR="00E06B16" w:rsidRPr="00FE4B65" w:rsidRDefault="00E06B16" w:rsidP="00956ED2">
      <w:pPr>
        <w:pStyle w:val="NormalWeb"/>
        <w:spacing w:before="0" w:beforeAutospacing="0" w:after="0" w:afterAutospacing="0"/>
      </w:pPr>
      <w:hyperlink r:id="rId7" w:history="1">
        <w:r w:rsidRPr="00FE4B65">
          <w:rPr>
            <w:rStyle w:val="Hyperlink"/>
          </w:rPr>
          <w:t>Сайт, присвячений глобалізації</w:t>
        </w:r>
      </w:hyperlink>
    </w:p>
    <w:p w:rsidR="00E06B16" w:rsidRPr="00FE4B65" w:rsidRDefault="00E06B16" w:rsidP="00564294">
      <w:pPr>
        <w:pStyle w:val="Heading1"/>
        <w:jc w:val="center"/>
        <w:rPr>
          <w:sz w:val="28"/>
          <w:szCs w:val="28"/>
        </w:rPr>
      </w:pPr>
      <w:r w:rsidRPr="00FE4B65">
        <w:rPr>
          <w:sz w:val="28"/>
          <w:szCs w:val="28"/>
        </w:rPr>
        <w:t>Обробка статистичних даних</w:t>
      </w:r>
    </w:p>
    <w:p w:rsidR="00E06B16" w:rsidRPr="00FE4B65" w:rsidRDefault="00E06B16" w:rsidP="00956ED2">
      <w:pPr>
        <w:pStyle w:val="NormalWeb"/>
        <w:spacing w:before="0" w:beforeAutospacing="0" w:after="0" w:afterAutospacing="0"/>
      </w:pPr>
      <w:r w:rsidRPr="00FE4B65">
        <w:t xml:space="preserve">Обстеження датських іноземних філій є суцільним (не вибірковим), що означає, що ця статистика в основному охоплює всі датські підприємства, які володіють філіями за кордоном. Отримані дані про датські іноземні філії перевіряються як на етапі збору даних, так і, в основному, коли збір даних завершений.     </w:t>
      </w:r>
    </w:p>
    <w:p w:rsidR="00E06B16" w:rsidRPr="00FE4B65" w:rsidRDefault="00E06B16" w:rsidP="00956ED2">
      <w:pPr>
        <w:pStyle w:val="NormalWeb"/>
        <w:spacing w:before="0" w:beforeAutospacing="0" w:after="0" w:afterAutospacing="0"/>
      </w:pPr>
      <w:r w:rsidRPr="00FE4B65">
        <w:t>Декілька процедур перевірки даних, що відрізняються за своїм характером, здійснюються із залученням переданих даних, щоб забезпечити їхню високу якість. Деякі необхідні показники є повністю готовими, наприклад, країна місцезнаходження філії та діяльність, яка провалиться останньою у зазначеній країні. Причиною цього є забезпечення високої якості даних, але також і визначення релевантності.</w:t>
      </w:r>
    </w:p>
    <w:p w:rsidR="00E06B16" w:rsidRPr="00FE4B65" w:rsidRDefault="00E06B16" w:rsidP="00956ED2">
      <w:pPr>
        <w:pStyle w:val="Heading2"/>
        <w:spacing w:before="0" w:line="240" w:lineRule="auto"/>
      </w:pPr>
    </w:p>
    <w:p w:rsidR="00E06B16" w:rsidRPr="00FE4B65" w:rsidRDefault="00E06B16" w:rsidP="00956ED2">
      <w:pPr>
        <w:pStyle w:val="Heading2"/>
        <w:spacing w:before="0" w:line="240" w:lineRule="auto"/>
      </w:pPr>
      <w:r w:rsidRPr="00FE4B65">
        <w:t>Джерела даних</w:t>
      </w:r>
    </w:p>
    <w:p w:rsidR="00E06B16" w:rsidRPr="00FE4B65" w:rsidRDefault="00E06B16" w:rsidP="00956ED2">
      <w:pPr>
        <w:pStyle w:val="NormalWeb"/>
        <w:spacing w:before="0" w:beforeAutospacing="0" w:after="0" w:afterAutospacing="0"/>
      </w:pPr>
      <w:r w:rsidRPr="00FE4B65">
        <w:t xml:space="preserve">Обстеження датських іноземних філій є суцільним (не вибірковим), що означає, що ця статистика в основному охоплює всі датські підприємства, які володіють філіями за кордоном. Водночас це означає, що не відбувається поширення значень вибірки на генеральну сукупність. </w:t>
      </w:r>
    </w:p>
    <w:p w:rsidR="00E06B16" w:rsidRPr="00FE4B65" w:rsidRDefault="00E06B16" w:rsidP="00956ED2">
      <w:pPr>
        <w:pStyle w:val="NormalWeb"/>
        <w:spacing w:before="0" w:beforeAutospacing="0" w:after="0" w:afterAutospacing="0"/>
      </w:pPr>
      <w:r w:rsidRPr="00FE4B65">
        <w:t>Це обстеження є обов’язковим і ґрунтується на анкетному опитуванні.</w:t>
      </w:r>
    </w:p>
    <w:p w:rsidR="00E06B16" w:rsidRPr="00FE4B65" w:rsidRDefault="00E06B16" w:rsidP="00956ED2">
      <w:pPr>
        <w:pStyle w:val="NormalWeb"/>
        <w:spacing w:before="0" w:beforeAutospacing="0" w:after="0" w:afterAutospacing="0"/>
      </w:pPr>
      <w:r w:rsidRPr="00FE4B65">
        <w:t xml:space="preserve">Джерелами основної інформації є низка як внутрішніх, здебільшого Реєстр підприємств, так і зовнішніх матеріалів, в основному Реєстр прямих іноземних інвестицій, що ведеться Центральним банком, річні звіти підприємств та комерційні бази даних. У цей спосіб, усі підприємства Данії з визначальним впливом в іноземних філіях роблять свій внесок до цієї статистики. </w:t>
      </w:r>
    </w:p>
    <w:p w:rsidR="00E06B16" w:rsidRPr="00FE4B65" w:rsidRDefault="00E06B16" w:rsidP="00956ED2">
      <w:pPr>
        <w:pStyle w:val="NormalWeb"/>
        <w:spacing w:before="0" w:beforeAutospacing="0" w:after="0" w:afterAutospacing="0"/>
      </w:pPr>
      <w:r w:rsidRPr="00FE4B65">
        <w:t xml:space="preserve">Основна інформація про датські підприємства ґрунтується на внутрішніх джерелах у Службі статистики Данії, здебільшого на Реєстрі підприємств.  </w:t>
      </w:r>
    </w:p>
    <w:p w:rsidR="00E06B16" w:rsidRPr="00FE4B65" w:rsidRDefault="00E06B16" w:rsidP="00956ED2">
      <w:pPr>
        <w:pStyle w:val="Heading2"/>
        <w:spacing w:before="0" w:line="240" w:lineRule="auto"/>
      </w:pPr>
    </w:p>
    <w:p w:rsidR="00E06B16" w:rsidRPr="00FE4B65" w:rsidRDefault="00E06B16" w:rsidP="00956ED2">
      <w:pPr>
        <w:pStyle w:val="Heading2"/>
        <w:spacing w:before="0" w:line="240" w:lineRule="auto"/>
      </w:pPr>
      <w:r w:rsidRPr="00FE4B65">
        <w:t>Періодичність збору даних</w:t>
      </w:r>
    </w:p>
    <w:p w:rsidR="00E06B16" w:rsidRPr="00FE4B65" w:rsidRDefault="00E06B16" w:rsidP="00956ED2">
      <w:pPr>
        <w:pStyle w:val="NormalWeb"/>
        <w:spacing w:before="0" w:beforeAutospacing="0" w:after="0" w:afterAutospacing="0"/>
      </w:pPr>
      <w:r w:rsidRPr="00FE4B65">
        <w:t xml:space="preserve">Інформація про датські іноземні філії збирається щорічно. </w:t>
      </w:r>
    </w:p>
    <w:p w:rsidR="00E06B16" w:rsidRPr="00FE4B65" w:rsidRDefault="00E06B16" w:rsidP="00956ED2">
      <w:pPr>
        <w:pStyle w:val="Heading2"/>
        <w:spacing w:before="0" w:line="240" w:lineRule="auto"/>
      </w:pPr>
    </w:p>
    <w:p w:rsidR="00E06B16" w:rsidRPr="00FE4B65" w:rsidRDefault="00E06B16" w:rsidP="00956ED2">
      <w:pPr>
        <w:pStyle w:val="Heading2"/>
        <w:spacing w:before="0" w:line="240" w:lineRule="auto"/>
      </w:pPr>
      <w:r w:rsidRPr="00FE4B65">
        <w:t>Збір даних</w:t>
      </w:r>
    </w:p>
    <w:p w:rsidR="00E06B16" w:rsidRPr="00FE4B65" w:rsidRDefault="00E06B16" w:rsidP="00956ED2">
      <w:pPr>
        <w:pStyle w:val="NormalWeb"/>
        <w:spacing w:before="0" w:beforeAutospacing="0" w:after="0" w:afterAutospacing="0"/>
      </w:pPr>
      <w:r w:rsidRPr="00FE4B65">
        <w:t>Датські іноземні філії обстежуються з використанням анкети. Анкети здебільшого заповнюються в режимі «онлайн» на сайті www.dst.dk/virk, однак датське підприємство за бажанням може також заповнити паперову версію анкети.</w:t>
      </w:r>
    </w:p>
    <w:p w:rsidR="00E06B16" w:rsidRPr="00FE4B65" w:rsidRDefault="00E06B16" w:rsidP="00956ED2">
      <w:pPr>
        <w:pStyle w:val="NormalWeb"/>
        <w:spacing w:before="0" w:beforeAutospacing="0" w:after="0" w:afterAutospacing="0"/>
      </w:pPr>
      <w:r w:rsidRPr="00FE4B65">
        <w:t>Для забезпечення високого рівня відповідей, письмові нагадування розсилаються через традиційну і, якщо можливо, електронну пошту.</w:t>
      </w:r>
    </w:p>
    <w:p w:rsidR="00E06B16" w:rsidRPr="00FE4B65" w:rsidRDefault="00E06B16" w:rsidP="00956ED2">
      <w:pPr>
        <w:pStyle w:val="Heading2"/>
        <w:spacing w:before="0" w:line="240" w:lineRule="auto"/>
      </w:pPr>
    </w:p>
    <w:p w:rsidR="00E06B16" w:rsidRPr="00FE4B65" w:rsidRDefault="00E06B16" w:rsidP="00956ED2">
      <w:pPr>
        <w:pStyle w:val="Heading2"/>
        <w:spacing w:before="0" w:line="240" w:lineRule="auto"/>
      </w:pPr>
      <w:r w:rsidRPr="00FE4B65">
        <w:t>Перевірка даних</w:t>
      </w:r>
    </w:p>
    <w:p w:rsidR="00E06B16" w:rsidRPr="00FE4B65" w:rsidRDefault="00E06B16" w:rsidP="00956ED2">
      <w:pPr>
        <w:pStyle w:val="NormalWeb"/>
        <w:spacing w:before="0" w:beforeAutospacing="0" w:after="0" w:afterAutospacing="0"/>
      </w:pPr>
      <w:r w:rsidRPr="00FE4B65">
        <w:t>Отримані дані про датські іноземні філії перевіряються як на етапі збору даних, так і (в основному), коли збір даних завершений.</w:t>
      </w:r>
    </w:p>
    <w:p w:rsidR="00E06B16" w:rsidRPr="00FE4B65" w:rsidRDefault="00E06B16" w:rsidP="00956ED2">
      <w:pPr>
        <w:pStyle w:val="NormalWeb"/>
        <w:spacing w:before="0" w:beforeAutospacing="0" w:after="0" w:afterAutospacing="0"/>
      </w:pPr>
      <w:r w:rsidRPr="00FE4B65">
        <w:t>Декілька процедур перевірки даних, що відрізняються за своїм характером, здійснюються із залученням переданих даних, щоб забезпечити їхню високу якість. Деякі необхідні показники є повністю готовими, наприклад, країна місцезнаходження філії та діяльність, яка провалиться останньою у зазначеній країні. Причиною цього є забезпечення високої якості даних, але також і визначення релевантності (щоб зрозуміти, чи входить конкретна філія в сферу дії обстеження).</w:t>
      </w:r>
    </w:p>
    <w:p w:rsidR="00E06B16" w:rsidRPr="00FE4B65" w:rsidRDefault="00E06B16" w:rsidP="00956ED2">
      <w:pPr>
        <w:pStyle w:val="NormalWeb"/>
        <w:spacing w:before="0" w:beforeAutospacing="0" w:after="0" w:afterAutospacing="0"/>
      </w:pPr>
      <w:r w:rsidRPr="00FE4B65">
        <w:t xml:space="preserve">Дані про датські іноземні філії перевіряються та коригуються на макрорівні, тобто, на рівні однієї конкретної філії. Потім дані перевіряються на рівні звітної одиниці, тобто, датського підприємства. І, зрештою, відбувається перевірка даних на макрорівні, що означає розбивку агрегованих даних за основним видом діяльності філій та/або географічною ознакою. Перевірка даних відбувається в порядку пріоритетів, і помилки/тенденції зі значним впливом на статистику перевіряються в першу чергу, означаючи виконання вибіркової перевірки даних.  </w:t>
      </w:r>
    </w:p>
    <w:p w:rsidR="00E06B16" w:rsidRPr="00FE4B65" w:rsidRDefault="00E06B16" w:rsidP="00956ED2">
      <w:pPr>
        <w:pStyle w:val="NormalWeb"/>
        <w:spacing w:before="0" w:beforeAutospacing="0" w:after="0" w:afterAutospacing="0"/>
      </w:pPr>
      <w:r w:rsidRPr="00FE4B65">
        <w:t xml:space="preserve">Із завершенням опрацювання даних макрорівня, дані перевіряються на більш агрегованому рівні, тобто, з розбивкою за основним видом діяльності об’єднаних філій, за географічною ознакою об’єднаних філій, а також, на рівні звітної одиниці. Метою є відстеження тенденцій з року в рік з метою основних, які можуть вказувати на можливі помилки.  </w:t>
      </w:r>
    </w:p>
    <w:p w:rsidR="00E06B16" w:rsidRPr="00FE4B65" w:rsidRDefault="00E06B16" w:rsidP="00956ED2">
      <w:pPr>
        <w:pStyle w:val="NormalWeb"/>
        <w:spacing w:before="0" w:beforeAutospacing="0" w:after="0" w:afterAutospacing="0"/>
      </w:pPr>
      <w:r w:rsidRPr="00FE4B65">
        <w:t xml:space="preserve">Перевірка даних на макрорівні здійснюється для виправлення фактичних помилок, на той час як така перевірка на макрорівні має на меті намагання зрозуміти логіку даних та знайти вагоме пояснення тенденціям, виявленим між роками обстежень. Ця процедура виконується в тісному контакті зі звітною одиницею.  </w:t>
      </w:r>
    </w:p>
    <w:p w:rsidR="00E06B16" w:rsidRPr="00FE4B65" w:rsidRDefault="00E06B16" w:rsidP="00956ED2">
      <w:pPr>
        <w:pStyle w:val="NormalWeb"/>
        <w:spacing w:before="0" w:beforeAutospacing="0" w:after="0" w:afterAutospacing="0"/>
      </w:pPr>
      <w:r w:rsidRPr="00FE4B65">
        <w:t xml:space="preserve">Щодо неповних та помилкових даних, поданих від великих і тому значних одиниць (на основі рядів даних минулого року), здійснюються спроби їх коригування, перш за все, через контакти зі звітною одиницею.  </w:t>
      </w:r>
    </w:p>
    <w:p w:rsidR="00E06B16" w:rsidRPr="00FE4B65" w:rsidRDefault="00E06B16" w:rsidP="00956ED2">
      <w:pPr>
        <w:pStyle w:val="NormalWeb"/>
        <w:spacing w:before="0" w:beforeAutospacing="0" w:after="0" w:afterAutospacing="0"/>
      </w:pPr>
      <w:r w:rsidRPr="00FE4B65">
        <w:t xml:space="preserve">Насправді, це водночас означає, що, якщо експертно вплив на статистичну цінність відсутньої інформації був визначений як незначний, ці значення імпутуються – передусім шляхом використання рядів даних за минулий рік. У цьому зв’язку можна зазначити, що це стосується рядів даних, що містять нульові значення.  </w:t>
      </w:r>
    </w:p>
    <w:p w:rsidR="00E06B16" w:rsidRPr="00FE4B65" w:rsidRDefault="00E06B16" w:rsidP="00956ED2">
      <w:pPr>
        <w:pStyle w:val="Heading2"/>
        <w:spacing w:before="0" w:line="240" w:lineRule="auto"/>
      </w:pPr>
    </w:p>
    <w:p w:rsidR="00E06B16" w:rsidRPr="00FE4B65" w:rsidRDefault="00E06B16" w:rsidP="00956ED2">
      <w:pPr>
        <w:pStyle w:val="Heading2"/>
        <w:spacing w:before="0" w:line="240" w:lineRule="auto"/>
      </w:pPr>
      <w:r w:rsidRPr="00FE4B65">
        <w:t>Укладання даних</w:t>
      </w:r>
    </w:p>
    <w:p w:rsidR="00E06B16" w:rsidRPr="00FE4B65" w:rsidRDefault="00E06B16" w:rsidP="00956ED2">
      <w:pPr>
        <w:pStyle w:val="NormalWeb"/>
        <w:spacing w:before="0" w:beforeAutospacing="0" w:after="0" w:afterAutospacing="0"/>
      </w:pPr>
      <w:r w:rsidRPr="00FE4B65">
        <w:t xml:space="preserve">Обстеження датських іноземних філій є суцільним (не вибірковим), що означає, що ця статистика в основному охоплює всі датські підприємства, які володіють філіями за кордоном. Водночас це означає, що не відбувається поширення значень вибірки на генеральну сукупність. Крім того, завдяки загально високому рівню відповідей, імпутація відповідей відсутніх одиниць (невідповіді одиниць) здійснюється в незначній кількості, передусім, використовуючи в якості основи ряди даних минулого року.  </w:t>
      </w:r>
    </w:p>
    <w:p w:rsidR="00E06B16" w:rsidRPr="00FE4B65" w:rsidRDefault="00E06B16" w:rsidP="00956ED2">
      <w:pPr>
        <w:pStyle w:val="Heading2"/>
        <w:spacing w:before="0" w:line="240" w:lineRule="auto"/>
      </w:pPr>
    </w:p>
    <w:p w:rsidR="00E06B16" w:rsidRPr="00FE4B65" w:rsidRDefault="00E06B16" w:rsidP="00956ED2">
      <w:pPr>
        <w:pStyle w:val="Heading2"/>
        <w:spacing w:before="0" w:line="240" w:lineRule="auto"/>
      </w:pPr>
      <w:r w:rsidRPr="00FE4B65">
        <w:t>Коригування</w:t>
      </w:r>
    </w:p>
    <w:p w:rsidR="00E06B16" w:rsidRPr="00FE4B65" w:rsidRDefault="00E06B16" w:rsidP="00956ED2">
      <w:pPr>
        <w:pStyle w:val="NormalWeb"/>
        <w:spacing w:before="0" w:beforeAutospacing="0" w:after="0" w:afterAutospacing="0"/>
      </w:pPr>
      <w:r w:rsidRPr="00FE4B65">
        <w:t>Не відбувається більше ніяких коригувань даних, окрім тих, що згадані в розділі «Перевірка даних» (s21.4) та «Укладання даних» (s21.5).</w:t>
      </w:r>
    </w:p>
    <w:p w:rsidR="00E06B16" w:rsidRPr="00FE4B65" w:rsidRDefault="00E06B16" w:rsidP="00564294">
      <w:pPr>
        <w:pStyle w:val="Heading1"/>
        <w:jc w:val="center"/>
        <w:rPr>
          <w:sz w:val="28"/>
          <w:szCs w:val="28"/>
        </w:rPr>
      </w:pPr>
      <w:r w:rsidRPr="00FE4B65">
        <w:rPr>
          <w:sz w:val="28"/>
          <w:szCs w:val="28"/>
        </w:rPr>
        <w:t>Релевантність</w:t>
      </w:r>
    </w:p>
    <w:p w:rsidR="00E06B16" w:rsidRPr="00FE4B65" w:rsidRDefault="00E06B16" w:rsidP="00956ED2">
      <w:pPr>
        <w:pStyle w:val="NormalWeb"/>
        <w:spacing w:before="0" w:beforeAutospacing="0" w:after="0" w:afterAutospacing="0"/>
      </w:pPr>
      <w:r w:rsidRPr="00FE4B65">
        <w:t xml:space="preserve">Як згадувалося вище в розділі «Потреби користувачів», першочерговими користувачами статистики є міністерства та інші державні організації, а також міжнародні організації, такі як ОЕСР та Європейська Комісія. Крім того, користувачами є агентства новин, промислові та інші організації – всі, хто цікавиться питаннями глобалізацією та володіння датських підприємств за кордоном.  </w:t>
      </w:r>
    </w:p>
    <w:p w:rsidR="00E06B16" w:rsidRPr="00FE4B65" w:rsidRDefault="00E06B16" w:rsidP="00956ED2">
      <w:pPr>
        <w:pStyle w:val="NormalWeb"/>
        <w:spacing w:before="0" w:beforeAutospacing="0" w:after="0" w:afterAutospacing="0"/>
      </w:pPr>
      <w:r w:rsidRPr="00FE4B65">
        <w:t xml:space="preserve">Користувачі статистики, перш за все, Європейська Комісія (Євростат), висловили потребу в додатковій змінній, саме, в показнику доданої вартості.  </w:t>
      </w:r>
    </w:p>
    <w:p w:rsidR="00E06B16" w:rsidRPr="00FE4B65" w:rsidRDefault="00E06B16" w:rsidP="00956ED2">
      <w:pPr>
        <w:pStyle w:val="NormalWeb"/>
        <w:spacing w:before="0" w:beforeAutospacing="0" w:after="0" w:afterAutospacing="0"/>
      </w:pPr>
      <w:r w:rsidRPr="00FE4B65">
        <w:t>Обстеження рівня задоволеності користувачів не проводилися, але користувачі статистики висловлюють своє задоволення статистичної інформацією та її цінністю.</w:t>
      </w:r>
    </w:p>
    <w:p w:rsidR="00E06B16" w:rsidRPr="00FE4B65" w:rsidRDefault="00E06B16" w:rsidP="00956ED2">
      <w:pPr>
        <w:pStyle w:val="Heading2"/>
        <w:spacing w:before="0" w:line="240" w:lineRule="auto"/>
      </w:pPr>
    </w:p>
    <w:p w:rsidR="00E06B16" w:rsidRPr="00FE4B65" w:rsidRDefault="00E06B16" w:rsidP="00956ED2">
      <w:pPr>
        <w:pStyle w:val="Heading2"/>
        <w:spacing w:before="0" w:line="240" w:lineRule="auto"/>
      </w:pPr>
      <w:r w:rsidRPr="00FE4B65">
        <w:t>Потреби користувачів</w:t>
      </w:r>
    </w:p>
    <w:p w:rsidR="00E06B16" w:rsidRPr="00FE4B65" w:rsidRDefault="00E06B16" w:rsidP="00956ED2">
      <w:pPr>
        <w:pStyle w:val="NormalWeb"/>
        <w:spacing w:before="0" w:beforeAutospacing="0" w:after="0" w:afterAutospacing="0"/>
      </w:pPr>
      <w:r w:rsidRPr="00FE4B65">
        <w:t>Першочерговими користувачами статистичної інформації є політики, міністерства, відомства, регіони та муніципалітети, а також ОЕСР та Європейська Комісія (Євростат). Крім того, користувачами є агентства новин, різні промислові організації та науковці, а також інші, хто цікавиться глобалізацією та володінням датських підприємств за кордоном.</w:t>
      </w:r>
    </w:p>
    <w:p w:rsidR="00E06B16" w:rsidRPr="00FE4B65" w:rsidRDefault="00E06B16" w:rsidP="00F957A1">
      <w:pPr>
        <w:pStyle w:val="NormalWeb"/>
        <w:spacing w:before="0" w:beforeAutospacing="0" w:after="0" w:afterAutospacing="0"/>
      </w:pPr>
      <w:r w:rsidRPr="00FE4B65">
        <w:t xml:space="preserve">Користувачі статистики, перш за все, Європейська Комісія (Євростат), висловили потребу в додатковій змінній, саме, в показнику доданої вартості. </w:t>
      </w:r>
    </w:p>
    <w:p w:rsidR="00E06B16" w:rsidRPr="00FE4B65" w:rsidRDefault="00E06B16" w:rsidP="00956ED2">
      <w:pPr>
        <w:pStyle w:val="Heading2"/>
        <w:spacing w:before="0" w:line="240" w:lineRule="auto"/>
      </w:pPr>
    </w:p>
    <w:p w:rsidR="00E06B16" w:rsidRPr="00FE4B65" w:rsidRDefault="00E06B16" w:rsidP="00956ED2">
      <w:pPr>
        <w:pStyle w:val="Heading2"/>
        <w:spacing w:before="0" w:line="240" w:lineRule="auto"/>
      </w:pPr>
      <w:r w:rsidRPr="00FE4B65">
        <w:t>Задоволеність користувачів</w:t>
      </w:r>
    </w:p>
    <w:p w:rsidR="00E06B16" w:rsidRPr="00FE4B65" w:rsidRDefault="00E06B16" w:rsidP="00956ED2">
      <w:pPr>
        <w:pStyle w:val="NormalWeb"/>
        <w:spacing w:before="0" w:beforeAutospacing="0" w:after="0" w:afterAutospacing="0"/>
      </w:pPr>
      <w:r w:rsidRPr="00FE4B65">
        <w:t xml:space="preserve">Користувачі статистичної інформації задоволені нею та її значеннями, але водночас потребують додаткових даних стосовно іноземних філій.  </w:t>
      </w:r>
    </w:p>
    <w:p w:rsidR="00E06B16" w:rsidRPr="00FE4B65" w:rsidRDefault="00E06B16" w:rsidP="00956ED2">
      <w:pPr>
        <w:pStyle w:val="Heading2"/>
        <w:spacing w:before="0" w:line="240" w:lineRule="auto"/>
      </w:pPr>
    </w:p>
    <w:p w:rsidR="00E06B16" w:rsidRPr="00FE4B65" w:rsidRDefault="00E06B16" w:rsidP="00956ED2">
      <w:pPr>
        <w:pStyle w:val="Heading2"/>
        <w:spacing w:before="0" w:line="240" w:lineRule="auto"/>
      </w:pPr>
      <w:r w:rsidRPr="00FE4B65">
        <w:t>Рівень повноти даних</w:t>
      </w:r>
    </w:p>
    <w:p w:rsidR="00E06B16" w:rsidRPr="00FE4B65" w:rsidRDefault="00E06B16" w:rsidP="00956ED2">
      <w:pPr>
        <w:pStyle w:val="NormalWeb"/>
        <w:spacing w:before="0" w:beforeAutospacing="0" w:after="0" w:afterAutospacing="0"/>
      </w:pPr>
      <w:r w:rsidRPr="00FE4B65">
        <w:t xml:space="preserve">Цей показник ґрунтується на наданні даних до Євростату. Інформація, необхідна для здійснення цього розрахунку на конкретний рік обстеження, буде доступною в другій половині року обстеження + 2 роки.  </w:t>
      </w:r>
    </w:p>
    <w:p w:rsidR="00E06B16" w:rsidRPr="00FE4B65" w:rsidRDefault="00E06B16" w:rsidP="00956ED2">
      <w:pPr>
        <w:pStyle w:val="NormalWeb"/>
        <w:spacing w:before="0" w:beforeAutospacing="0" w:after="0" w:afterAutospacing="0"/>
      </w:pPr>
      <w:r w:rsidRPr="00FE4B65">
        <w:t xml:space="preserve">(Стосовно обстеження 2011 року, цей показник був 100 відсотків – що означає, що Служба статистики Данії надає всі дані, які вимагаються Євростатом).  </w:t>
      </w:r>
    </w:p>
    <w:p w:rsidR="00E06B16" w:rsidRPr="00FE4B65" w:rsidRDefault="00E06B16" w:rsidP="00956ED2">
      <w:pPr>
        <w:pStyle w:val="NormalWeb"/>
        <w:spacing w:before="0" w:beforeAutospacing="0" w:after="0" w:afterAutospacing="0"/>
      </w:pPr>
      <w:r w:rsidRPr="00FE4B65">
        <w:t>Цей показник стосовно повноти даних щодо публікацій на національному рівні не розраховується, але також оцінюється як 100 відсотків.</w:t>
      </w:r>
    </w:p>
    <w:p w:rsidR="00E06B16" w:rsidRPr="00FE4B65" w:rsidRDefault="00E06B16" w:rsidP="00564294">
      <w:pPr>
        <w:pStyle w:val="Heading1"/>
        <w:jc w:val="center"/>
        <w:rPr>
          <w:sz w:val="28"/>
          <w:szCs w:val="28"/>
        </w:rPr>
      </w:pPr>
      <w:r w:rsidRPr="00FE4B65">
        <w:rPr>
          <w:sz w:val="28"/>
          <w:szCs w:val="28"/>
        </w:rPr>
        <w:t>Точність та надійність</w:t>
      </w:r>
    </w:p>
    <w:p w:rsidR="00E06B16" w:rsidRPr="00FE4B65" w:rsidRDefault="00E06B16" w:rsidP="00471329">
      <w:pPr>
        <w:pStyle w:val="NormalWeb"/>
        <w:spacing w:before="0" w:beforeAutospacing="0" w:after="0" w:afterAutospacing="0"/>
      </w:pPr>
      <w:r w:rsidRPr="00FE4B65">
        <w:t xml:space="preserve">Результати обстеження базуються на наданні даних з усіх належних датських материнських компаній з іноземними філіями. Будь-які методи формування вибірки та/або активне використання порогів не практикувалися. Отже, кількість материнських компаній в обстеженні приблизно дорівнює 3 500, а число іноземних філій - 12 000.  </w:t>
      </w:r>
    </w:p>
    <w:p w:rsidR="00E06B16" w:rsidRPr="00FE4B65" w:rsidRDefault="00E06B16" w:rsidP="00956ED2">
      <w:pPr>
        <w:pStyle w:val="NormalWeb"/>
        <w:spacing w:before="0" w:beforeAutospacing="0" w:after="0" w:afterAutospacing="0"/>
      </w:pPr>
    </w:p>
    <w:p w:rsidR="00E06B16" w:rsidRPr="00FE4B65" w:rsidRDefault="00E06B16" w:rsidP="00956ED2">
      <w:pPr>
        <w:pStyle w:val="NormalWeb"/>
        <w:spacing w:before="0" w:beforeAutospacing="0" w:after="0" w:afterAutospacing="0"/>
      </w:pPr>
      <w:r w:rsidRPr="00FE4B65">
        <w:t>Оцінка свідчить про те, що відсутні значення/ряди даних в обстеженні мають незначний вплив на цінність статистичної інформації.</w:t>
      </w:r>
    </w:p>
    <w:p w:rsidR="00E06B16" w:rsidRPr="00FE4B65" w:rsidRDefault="00E06B16" w:rsidP="00956ED2">
      <w:pPr>
        <w:pStyle w:val="Heading2"/>
        <w:spacing w:before="0" w:line="240" w:lineRule="auto"/>
      </w:pPr>
    </w:p>
    <w:p w:rsidR="00E06B16" w:rsidRPr="00FE4B65" w:rsidRDefault="00E06B16" w:rsidP="00956ED2">
      <w:pPr>
        <w:pStyle w:val="Heading2"/>
        <w:spacing w:before="0" w:line="240" w:lineRule="auto"/>
      </w:pPr>
      <w:r w:rsidRPr="00FE4B65">
        <w:t>Загальна точність</w:t>
      </w:r>
    </w:p>
    <w:p w:rsidR="00E06B16" w:rsidRPr="00FE4B65" w:rsidRDefault="00E06B16" w:rsidP="00956ED2">
      <w:pPr>
        <w:pStyle w:val="NormalWeb"/>
        <w:spacing w:before="0" w:beforeAutospacing="0" w:after="0" w:afterAutospacing="0"/>
      </w:pPr>
      <w:r w:rsidRPr="00FE4B65">
        <w:t>Результати обстеження базуються на поданні даних з усіх належних датських материнських компаній з іноземними філіями. Отже, кількість материнських компаній в обстеженні приблизно дорівнює 3 500, а число іноземних філій - 12 000.</w:t>
      </w:r>
    </w:p>
    <w:p w:rsidR="00E06B16" w:rsidRPr="00FE4B65" w:rsidRDefault="00E06B16" w:rsidP="00956ED2">
      <w:pPr>
        <w:pStyle w:val="NormalWeb"/>
        <w:spacing w:before="0" w:beforeAutospacing="0" w:after="0" w:afterAutospacing="0"/>
      </w:pPr>
      <w:r w:rsidRPr="00FE4B65">
        <w:t xml:space="preserve">За допомогою доступних та використовуваних джерел стає можливою оцінка, згідно з якою вагомість та результати обстеження надають правдиву та справедливу картину, однак можуть виникнути незначні ситуації недооцінки, наприклад, за рахунок відсутніх рядів даних та/або ненаявної інформації про відповідні іноземні філії. Проте вилив усього цього оцінюється як неістотний для статистики.   </w:t>
      </w:r>
    </w:p>
    <w:p w:rsidR="00E06B16" w:rsidRPr="00FE4B65" w:rsidRDefault="00E06B16" w:rsidP="00956ED2">
      <w:pPr>
        <w:pStyle w:val="NormalWeb"/>
        <w:spacing w:before="0" w:beforeAutospacing="0" w:after="0" w:afterAutospacing="0"/>
      </w:pPr>
      <w:r w:rsidRPr="00FE4B65">
        <w:t>Чисельність працівників повинна подаватися як середня їх кількість в іноземних філіях на еталонний період, незважаючи на повну чи неповну зайнятість цих працівників. Тобто, це означає, що повідомлене число повинно базуватися на поособовій кількості. Звітна одиниця може відчувати складнощі під час надання зазначеної інформації, через те, що повідомлена чисельність може фактично бути кількістю зайнятих в еквіваленті повної ставки (FTE) та/або надаватися як кількість працівників на кінець року (а не середньорічне значення). Служба статистики Данії зазнає великих труднощів в оцінці даних.</w:t>
      </w:r>
    </w:p>
    <w:p w:rsidR="00E06B16" w:rsidRPr="00FE4B65" w:rsidRDefault="00E06B16" w:rsidP="00956ED2">
      <w:pPr>
        <w:pStyle w:val="NormalWeb"/>
        <w:spacing w:before="0" w:beforeAutospacing="0" w:after="0" w:afterAutospacing="0"/>
      </w:pPr>
      <w:r w:rsidRPr="00FE4B65">
        <w:t>Унаслідок географічного розташування в масштабах усього світу, іноземні філії керуються різними національними законодавчими положеннями стосовно їх річних звітів, наприклад, у плані того, коли ці звіти повинні бути надані/оприлюднені. Тому дані результатів обстежень можуть фактично стосуватися попереднього періоду, оскільки звітні одиниці не мають доступу до будь-якої більш нової інформації.</w:t>
      </w:r>
    </w:p>
    <w:p w:rsidR="00E06B16" w:rsidRPr="00FE4B65" w:rsidRDefault="00E06B16" w:rsidP="00956ED2">
      <w:pPr>
        <w:pStyle w:val="NormalWeb"/>
        <w:spacing w:before="0" w:beforeAutospacing="0" w:after="0" w:afterAutospacing="0"/>
      </w:pPr>
      <w:r w:rsidRPr="00FE4B65">
        <w:t>Постачальники даних, які є джерелом для обстеження, базують свої знання про іноземні філії та їх зв’язки з датським підприємством на міжнародних річних звітах від підприємств та їхніх філій.  Це може означати, що підприємство з відповідною іноземною філією спочатку буде частиною обстеження на рік пізніше, ніж це мало бути. Ця невідповідність зумовлена тим фактом, що джерело інформації, використовуване під час побудови сукупності, є неповним на момент, коли воно потрібне, оскільки, наприклад, відповідний річний звіт не було оприлюднено в цей час. Однак це в основному трапляється зі звітними одиницями, що вже не є частиною обстеження, оскільки звітні одиниці з додатковими філіями, присутні в обстеженні, мають ввести про них інформацію в бланк.</w:t>
      </w:r>
    </w:p>
    <w:p w:rsidR="00E06B16" w:rsidRPr="00FE4B65" w:rsidRDefault="00E06B16" w:rsidP="00956ED2">
      <w:pPr>
        <w:pStyle w:val="Heading2"/>
        <w:spacing w:before="0" w:line="240" w:lineRule="auto"/>
      </w:pPr>
    </w:p>
    <w:p w:rsidR="00E06B16" w:rsidRPr="00FE4B65" w:rsidRDefault="00E06B16" w:rsidP="00956ED2">
      <w:pPr>
        <w:pStyle w:val="Heading2"/>
        <w:spacing w:before="0" w:line="240" w:lineRule="auto"/>
      </w:pPr>
      <w:r w:rsidRPr="00FE4B65">
        <w:t>Помилка вибірки</w:t>
      </w:r>
    </w:p>
    <w:p w:rsidR="00E06B16" w:rsidRPr="00FE4B65" w:rsidRDefault="00E06B16" w:rsidP="00956ED2">
      <w:pPr>
        <w:pStyle w:val="NormalWeb"/>
        <w:spacing w:before="0" w:beforeAutospacing="0" w:after="0" w:afterAutospacing="0"/>
      </w:pPr>
      <w:r w:rsidRPr="00FE4B65">
        <w:t>Не застосовується.</w:t>
      </w:r>
    </w:p>
    <w:p w:rsidR="00E06B16" w:rsidRPr="00FE4B65" w:rsidRDefault="00E06B16" w:rsidP="00956ED2">
      <w:pPr>
        <w:pStyle w:val="Heading2"/>
        <w:spacing w:before="0" w:line="240" w:lineRule="auto"/>
      </w:pPr>
    </w:p>
    <w:p w:rsidR="00E06B16" w:rsidRPr="00FE4B65" w:rsidRDefault="00E06B16" w:rsidP="00956ED2">
      <w:pPr>
        <w:pStyle w:val="Heading2"/>
        <w:spacing w:before="0" w:line="240" w:lineRule="auto"/>
      </w:pPr>
      <w:r w:rsidRPr="00FE4B65">
        <w:t>Помилка, не пов’язана з вибіркою, та A4. Невідповідь по одиниці - рівень для U та A5. Невідповідь по пункту – рівень для U</w:t>
      </w:r>
    </w:p>
    <w:p w:rsidR="00E06B16" w:rsidRPr="00FE4B65" w:rsidRDefault="00E06B16" w:rsidP="00956ED2">
      <w:pPr>
        <w:pStyle w:val="NormalWeb"/>
        <w:spacing w:before="0" w:beforeAutospacing="0" w:after="0" w:afterAutospacing="0"/>
      </w:pPr>
      <w:r w:rsidRPr="00FE4B65">
        <w:t>Рівень відповідей по датських іноземних філіях загалом складає 95%. Ґрунтуючись на наявному джерелі інформації, здійснена оцінка дійшла висновку стосовно того, що результати обстеження  надають правдиву та справедливу картину щодо іноземні філії датських підприємств. Проте існує підозра щодо можливої недооцінки.</w:t>
      </w:r>
    </w:p>
    <w:p w:rsidR="00E06B16" w:rsidRPr="00FE4B65" w:rsidRDefault="00E06B16" w:rsidP="00956ED2">
      <w:pPr>
        <w:pStyle w:val="NormalWeb"/>
        <w:spacing w:before="0" w:beforeAutospacing="0" w:after="0" w:afterAutospacing="0"/>
      </w:pPr>
      <w:r w:rsidRPr="00FE4B65">
        <w:t>Постачальники даних, які є джерелом для обстеження, базують свої знання про іноземні філії та їх зв’язки з датським підприємством на міжнародних річних звітах від підприємств та їхніх філій. Це може означати, що підприємство з відповідною іноземною філією спочатку буде частиною обстеження на рік пізніше, ніж це мало бути. Ця невідповідність зумовлена тим фактом, що джерело інформації, використовуване під час побудови сукупності, є неповним на момент, коли воно потрібне, оскільки, наприклад, відповідний річний звіт не було оприлюднено в цей час.</w:t>
      </w:r>
    </w:p>
    <w:p w:rsidR="00E06B16" w:rsidRPr="00FE4B65" w:rsidRDefault="00E06B16" w:rsidP="00956ED2">
      <w:pPr>
        <w:pStyle w:val="NormalWeb"/>
        <w:spacing w:before="0" w:beforeAutospacing="0" w:after="0" w:afterAutospacing="0"/>
      </w:pPr>
      <w:r w:rsidRPr="00FE4B65">
        <w:t>Чисельність працівників повинна подаватися як середня їх кількість в іноземних філіях на еталонний період, незважаючи на повну чи неповну зайнятість цих працівників. Служба статистики Данії зазнає великих труднощів в оцінці даних.</w:t>
      </w:r>
    </w:p>
    <w:p w:rsidR="00E06B16" w:rsidRPr="00FE4B65" w:rsidRDefault="00E06B16" w:rsidP="00956ED2">
      <w:pPr>
        <w:pStyle w:val="NormalWeb"/>
        <w:spacing w:before="0" w:beforeAutospacing="0" w:after="0" w:afterAutospacing="0"/>
      </w:pPr>
      <w:r w:rsidRPr="00FE4B65">
        <w:t xml:space="preserve">Через відсутність джерел, результати обстеження не компенсуються за невідповіді по одиницях та пунктах. Масштаб невідповідей по пунктах не відстежується і через це не може бути обчисленим. Вплив обох видів невідповідей оцінюється як незначний.   </w:t>
      </w:r>
    </w:p>
    <w:p w:rsidR="00E06B16" w:rsidRPr="00FE4B65" w:rsidRDefault="00E06B16" w:rsidP="00956ED2">
      <w:pPr>
        <w:pStyle w:val="Heading2"/>
        <w:spacing w:before="0" w:line="240" w:lineRule="auto"/>
      </w:pPr>
    </w:p>
    <w:p w:rsidR="00E06B16" w:rsidRPr="00FE4B65" w:rsidRDefault="00E06B16" w:rsidP="00956ED2">
      <w:pPr>
        <w:pStyle w:val="Heading2"/>
        <w:spacing w:before="0" w:line="240" w:lineRule="auto"/>
      </w:pPr>
      <w:r w:rsidRPr="00FE4B65">
        <w:t>Управління якістю</w:t>
      </w:r>
    </w:p>
    <w:p w:rsidR="00E06B16" w:rsidRPr="00FE4B65" w:rsidRDefault="00E06B16" w:rsidP="00956ED2">
      <w:pPr>
        <w:pStyle w:val="NormalWeb"/>
        <w:spacing w:before="0" w:beforeAutospacing="0" w:after="0" w:afterAutospacing="0"/>
      </w:pPr>
      <w:r w:rsidRPr="00FE4B65">
        <w:t xml:space="preserve">Служба статистики Данії дотримується рекомендацій щодо організації та управління якістю, передбачених Кодексом норм Європейської статистики (CoP), та Керівництвом з реалізації, представленим в Структурі забезпечення якості Європейської статичної системи  (QAF). Була заснована Наглядова Рада з питань якості та визначена центральна функція забезпечення якості для постійного забезпечення контролю продукції та процесів.   </w:t>
      </w:r>
    </w:p>
    <w:p w:rsidR="00E06B16" w:rsidRPr="00FE4B65" w:rsidRDefault="00E06B16" w:rsidP="00956ED2">
      <w:pPr>
        <w:pStyle w:val="Heading2"/>
        <w:spacing w:before="0" w:line="240" w:lineRule="auto"/>
      </w:pPr>
    </w:p>
    <w:p w:rsidR="00E06B16" w:rsidRPr="00FE4B65" w:rsidRDefault="00E06B16" w:rsidP="00956ED2">
      <w:pPr>
        <w:pStyle w:val="Heading2"/>
        <w:spacing w:before="0" w:line="240" w:lineRule="auto"/>
      </w:pPr>
      <w:r w:rsidRPr="00FE4B65">
        <w:t>Забезпечення якості</w:t>
      </w:r>
    </w:p>
    <w:p w:rsidR="00E06B16" w:rsidRPr="00FE4B65" w:rsidRDefault="00E06B16" w:rsidP="00956ED2">
      <w:pPr>
        <w:pStyle w:val="NormalWeb"/>
        <w:spacing w:before="0" w:beforeAutospacing="0" w:after="0" w:afterAutospacing="0"/>
      </w:pPr>
      <w:r w:rsidRPr="00FE4B65">
        <w:t xml:space="preserve">Служба статистики Данії дотримується принципів, викладених у Кодексі норм Європейської статистики (CoP), та використовує Структуру забезпечення якості Європейської статичної системи  (QAF) для впровадження принципів. Це означає постійну децентралізацію та центральний контроль продукції і процесів на основі документації з дотриманням міжнародних стандартів. Функція центрального забезпечення якості звітує Наглядовій Раді стосовно якості. Звіти включають пропозиції щодо покращення, які оцінюються, розглядаються та потім реалізовуються.  </w:t>
      </w:r>
    </w:p>
    <w:p w:rsidR="00E06B16" w:rsidRPr="00FE4B65" w:rsidRDefault="00E06B16" w:rsidP="00956ED2">
      <w:pPr>
        <w:pStyle w:val="Heading2"/>
        <w:spacing w:before="0" w:line="240" w:lineRule="auto"/>
      </w:pPr>
    </w:p>
    <w:p w:rsidR="00E06B16" w:rsidRPr="00FE4B65" w:rsidRDefault="00E06B16" w:rsidP="00956ED2">
      <w:pPr>
        <w:pStyle w:val="Heading2"/>
        <w:spacing w:before="0" w:line="240" w:lineRule="auto"/>
      </w:pPr>
      <w:r w:rsidRPr="00FE4B65">
        <w:t>Оцінка якості</w:t>
      </w:r>
    </w:p>
    <w:p w:rsidR="00E06B16" w:rsidRPr="00FE4B65" w:rsidRDefault="00E06B16" w:rsidP="00956ED2">
      <w:pPr>
        <w:pStyle w:val="NormalWeb"/>
        <w:spacing w:before="0" w:beforeAutospacing="0" w:after="0" w:afterAutospacing="0"/>
      </w:pPr>
      <w:r w:rsidRPr="00FE4B65">
        <w:t>Загальна якість обстеження оцінюється як висока.</w:t>
      </w:r>
    </w:p>
    <w:p w:rsidR="00E06B16" w:rsidRPr="00FE4B65" w:rsidRDefault="00E06B16" w:rsidP="00956ED2">
      <w:pPr>
        <w:pStyle w:val="NormalWeb"/>
        <w:spacing w:before="0" w:beforeAutospacing="0" w:after="0" w:afterAutospacing="0"/>
      </w:pPr>
      <w:r w:rsidRPr="00FE4B65">
        <w:t xml:space="preserve">Результати обстеження ґрунтуються на поданні даних з усіх належних датських материнських компаній з іноземними філіями. Будь-які методи формування вибірки та/або активне використання порогів не практикувалися. Отже, кількість материнських компаній в обстеженні приблизно дорівнює 3500, а кількість іноземних філій складає приблизно 12000.    </w:t>
      </w:r>
    </w:p>
    <w:p w:rsidR="00E06B16" w:rsidRPr="00FE4B65" w:rsidRDefault="00E06B16" w:rsidP="00956ED2">
      <w:pPr>
        <w:pStyle w:val="NormalWeb"/>
        <w:spacing w:before="0" w:beforeAutospacing="0" w:after="0" w:afterAutospacing="0"/>
      </w:pPr>
      <w:r w:rsidRPr="00FE4B65">
        <w:t xml:space="preserve">За допомогою доступних та використовуваних джерел стає можливою оцінка, згідно з якою вагомість та результати обстеження надають правдиву та справедливу картину, однак можуть виникнути незначні ситуації недооцінки, наприклад, за рахунок відсутніх рядів даних та/або ненаявної інформації про відповідні іноземні філії. </w:t>
      </w:r>
    </w:p>
    <w:p w:rsidR="00E06B16" w:rsidRPr="00FE4B65" w:rsidRDefault="00E06B16" w:rsidP="003C0F83">
      <w:pPr>
        <w:pStyle w:val="NormalWeb"/>
        <w:spacing w:before="0" w:beforeAutospacing="0" w:after="0" w:afterAutospacing="0"/>
      </w:pPr>
      <w:r w:rsidRPr="00FE4B65">
        <w:t>Чисельність працівників повинна подаватися як середня їх кількість в іноземних філіях на еталонний період, незважаючи на повну чи неповну зайнятість цих працівників. Тобто, це означає, що повідомлене число повинно базуватися на поособовій кількості. Звітна одиниця може відчувати складнощі під час надання зазначеної інформації, через те, що повідомлена чисельність може фактично бути кількістю зайнятих в еквіваленті повної ставки (FTE) та/або надаватися як кількість працівників на кінець року (а не середньорічне значення). Служба статистики Данії зазнає великих труднощів в оцінці даних.</w:t>
      </w:r>
    </w:p>
    <w:p w:rsidR="00E06B16" w:rsidRPr="00FE4B65" w:rsidRDefault="00E06B16" w:rsidP="00956ED2">
      <w:pPr>
        <w:pStyle w:val="NormalWeb"/>
        <w:spacing w:before="0" w:beforeAutospacing="0" w:after="0" w:afterAutospacing="0"/>
      </w:pPr>
      <w:r w:rsidRPr="00FE4B65">
        <w:t>Унаслідок географічного розташування в масштабах усього світу, іноземні філії керуються різними положеннями національного законодавства стосовно їх річних звітів, наприклад, у плані того, коли ці звіти повинні бути надані/оприлюднені. Тому дані результатів обстежень можуть фактично стосуватися попереднього періоду, оскільки звітні одиниці не мають доступу до будь-якої більш нової інформації.</w:t>
      </w:r>
    </w:p>
    <w:p w:rsidR="00E06B16" w:rsidRPr="00FE4B65" w:rsidRDefault="00E06B16" w:rsidP="00956ED2">
      <w:pPr>
        <w:pStyle w:val="NormalWeb"/>
        <w:spacing w:before="0" w:beforeAutospacing="0" w:after="0" w:afterAutospacing="0"/>
      </w:pPr>
      <w:r w:rsidRPr="00FE4B65">
        <w:t>Постачальники даних, які є джерелом для обстеження, базують свої знання про іноземні філії та їх зв’язки з датським підприємством на міжнародних річних звітах від підприємств та їхніх філій.  Це може означати, що підприємство з відповідною іноземною філією спочатку буде частиною обстеження на рік пізніше, ніж це мало бути. Ця невідповідність зумовлена тим фактом, що джерело інформації, використовуване під час побудови сукупності, є неповним на момент, коли воно потрібне, оскільки, наприклад, відповідний річний звіт не було оприлюднено в цей час. Однак це в основному трапляється зі звітними одиницями, що вже не є частиною обстеження, оскільки звітні одиниці з додатковими філіями, присутні в обстеженні, мають ввести про них інформацію в бланк.</w:t>
      </w:r>
    </w:p>
    <w:p w:rsidR="00E06B16" w:rsidRPr="00FE4B65" w:rsidRDefault="00E06B16" w:rsidP="00956ED2">
      <w:pPr>
        <w:pStyle w:val="Heading2"/>
        <w:spacing w:before="0" w:line="240" w:lineRule="auto"/>
      </w:pPr>
    </w:p>
    <w:p w:rsidR="00E06B16" w:rsidRPr="00FE4B65" w:rsidRDefault="00E06B16" w:rsidP="00956ED2">
      <w:pPr>
        <w:pStyle w:val="Heading2"/>
        <w:spacing w:before="0" w:line="240" w:lineRule="auto"/>
      </w:pPr>
      <w:r w:rsidRPr="00FE4B65">
        <w:t>Уточнення даних - політика</w:t>
      </w:r>
    </w:p>
    <w:p w:rsidR="00E06B16" w:rsidRPr="00FE4B65" w:rsidRDefault="00E06B16" w:rsidP="00956ED2">
      <w:pPr>
        <w:pStyle w:val="NormalWeb"/>
        <w:spacing w:before="0" w:beforeAutospacing="0" w:after="0" w:afterAutospacing="0"/>
      </w:pPr>
      <w:r w:rsidRPr="00FE4B65">
        <w:t xml:space="preserve">Служба статистики Данії уточнює опубліковані цифри згідно з </w:t>
      </w:r>
      <w:hyperlink r:id="rId8" w:history="1">
        <w:r w:rsidRPr="00FE4B65">
          <w:rPr>
            <w:rStyle w:val="Hyperlink"/>
          </w:rPr>
          <w:t xml:space="preserve"> Політикою уточнення для Статистики Данії</w:t>
        </w:r>
      </w:hyperlink>
      <w:r w:rsidRPr="00FE4B65">
        <w:t>. Загальноприйняті процедури та принципи Політики уточнення для деяких областей статистики доповнюються спеціальною практикою уточнення.</w:t>
      </w:r>
    </w:p>
    <w:p w:rsidR="00E06B16" w:rsidRPr="00FE4B65" w:rsidRDefault="00E06B16" w:rsidP="00956ED2">
      <w:pPr>
        <w:pStyle w:val="Heading2"/>
        <w:spacing w:before="0" w:line="240" w:lineRule="auto"/>
      </w:pPr>
    </w:p>
    <w:p w:rsidR="00E06B16" w:rsidRPr="00FE4B65" w:rsidRDefault="00E06B16" w:rsidP="00956ED2">
      <w:pPr>
        <w:pStyle w:val="Heading2"/>
        <w:spacing w:before="0" w:line="240" w:lineRule="auto"/>
      </w:pPr>
      <w:r w:rsidRPr="00FE4B65">
        <w:t>Уточнення даних - практика</w:t>
      </w:r>
    </w:p>
    <w:p w:rsidR="00E06B16" w:rsidRPr="00FE4B65" w:rsidRDefault="00E06B16" w:rsidP="00956ED2">
      <w:pPr>
        <w:pStyle w:val="NormalWeb"/>
        <w:spacing w:before="0" w:beforeAutospacing="0" w:after="0" w:afterAutospacing="0"/>
      </w:pPr>
      <w:r w:rsidRPr="00FE4B65">
        <w:t>Публікуються лише останні цифри. Загалом, у рамках цієї області статистики не здійснюються регулярні уточнення даних.</w:t>
      </w:r>
    </w:p>
    <w:p w:rsidR="00E06B16" w:rsidRPr="00FE4B65" w:rsidRDefault="00E06B16" w:rsidP="00564294">
      <w:pPr>
        <w:pStyle w:val="Heading1"/>
        <w:jc w:val="center"/>
        <w:rPr>
          <w:sz w:val="28"/>
          <w:szCs w:val="28"/>
        </w:rPr>
      </w:pPr>
      <w:r w:rsidRPr="00FE4B65">
        <w:rPr>
          <w:sz w:val="28"/>
          <w:szCs w:val="28"/>
        </w:rPr>
        <w:t>Своєчасність і пунктуальність</w:t>
      </w:r>
    </w:p>
    <w:p w:rsidR="00E06B16" w:rsidRPr="00FE4B65" w:rsidRDefault="00E06B16" w:rsidP="00956ED2">
      <w:pPr>
        <w:pStyle w:val="NormalWeb"/>
        <w:spacing w:before="0" w:beforeAutospacing="0" w:after="0" w:afterAutospacing="0"/>
      </w:pPr>
      <w:r w:rsidRPr="00FE4B65">
        <w:t xml:space="preserve">Статистика іноземних філій Данії публікується приблизно через 12 місяців з кінця календарного року. Статистична інформація збирається між травнем та листопадом. Інформація про датські іноземні філії публікується без затримки згідно із зазначеною датою. </w:t>
      </w:r>
    </w:p>
    <w:p w:rsidR="00E06B16" w:rsidRPr="00FE4B65" w:rsidRDefault="00E06B16" w:rsidP="00956ED2">
      <w:pPr>
        <w:pStyle w:val="Heading2"/>
        <w:spacing w:before="0" w:line="240" w:lineRule="auto"/>
      </w:pPr>
    </w:p>
    <w:p w:rsidR="00E06B16" w:rsidRPr="00FE4B65" w:rsidRDefault="00E06B16" w:rsidP="00956ED2">
      <w:pPr>
        <w:pStyle w:val="Heading2"/>
        <w:spacing w:before="0" w:line="240" w:lineRule="auto"/>
      </w:pPr>
      <w:r w:rsidRPr="00FE4B65">
        <w:t>Своєчасність та часові затримки – остаточні результати</w:t>
      </w:r>
    </w:p>
    <w:p w:rsidR="00E06B16" w:rsidRPr="00FE4B65" w:rsidRDefault="00E06B16" w:rsidP="00956ED2">
      <w:pPr>
        <w:pStyle w:val="NormalWeb"/>
        <w:spacing w:before="0" w:beforeAutospacing="0" w:after="0" w:afterAutospacing="0"/>
      </w:pPr>
      <w:r w:rsidRPr="00FE4B65">
        <w:t xml:space="preserve">Цифри оприлюднюються через 12 місяців після кінця еталонного періоду. Дані, що передаються до Євростату, надаються впродовж 18 місяців з кінця еталонного періоду.   </w:t>
      </w:r>
    </w:p>
    <w:p w:rsidR="00E06B16" w:rsidRPr="00FE4B65" w:rsidRDefault="00E06B16" w:rsidP="00956ED2">
      <w:pPr>
        <w:pStyle w:val="Heading2"/>
        <w:spacing w:before="0" w:line="240" w:lineRule="auto"/>
      </w:pPr>
    </w:p>
    <w:p w:rsidR="00E06B16" w:rsidRPr="00FE4B65" w:rsidRDefault="00E06B16" w:rsidP="00956ED2">
      <w:pPr>
        <w:pStyle w:val="Heading2"/>
        <w:spacing w:before="0" w:line="240" w:lineRule="auto"/>
      </w:pPr>
      <w:r w:rsidRPr="00FE4B65">
        <w:t>Пунктуальність</w:t>
      </w:r>
    </w:p>
    <w:p w:rsidR="00E06B16" w:rsidRPr="00FE4B65" w:rsidRDefault="00E06B16" w:rsidP="00956ED2">
      <w:pPr>
        <w:pStyle w:val="NormalWeb"/>
        <w:spacing w:before="0" w:beforeAutospacing="0" w:after="0" w:afterAutospacing="0"/>
      </w:pPr>
      <w:r w:rsidRPr="00FE4B65">
        <w:t>Інформація про датські іноземні філії публікується без затримки згідно із зазначеною датою. Своєчасність вимірюється в останньому календарному році.</w:t>
      </w:r>
    </w:p>
    <w:p w:rsidR="00E06B16" w:rsidRPr="00FE4B65" w:rsidRDefault="00E06B16" w:rsidP="00564294">
      <w:pPr>
        <w:pStyle w:val="Heading1"/>
        <w:jc w:val="center"/>
        <w:rPr>
          <w:sz w:val="28"/>
          <w:szCs w:val="28"/>
        </w:rPr>
      </w:pPr>
      <w:r w:rsidRPr="00FE4B65">
        <w:rPr>
          <w:sz w:val="28"/>
          <w:szCs w:val="28"/>
        </w:rPr>
        <w:t>Зіставність</w:t>
      </w:r>
    </w:p>
    <w:p w:rsidR="00E06B16" w:rsidRPr="00FE4B65" w:rsidRDefault="00E06B16" w:rsidP="00956ED2">
      <w:pPr>
        <w:pStyle w:val="NormalWeb"/>
        <w:spacing w:before="0" w:beforeAutospacing="0" w:after="0" w:afterAutospacing="0"/>
      </w:pPr>
      <w:r w:rsidRPr="00FE4B65">
        <w:t>Це обстеження проводиться в більшості інших країн Європи. Однак, через застосування різних підходів потрібно порівнювати цифри Данії з цифрами баз даних Євростату з обережністю. Датським обстеженням, у принципі, охоплюються всі підприємства країни, що володіють/контролюють іноземні філії, незалежно від кінцевої контролюючої країни. На той час, як цифри в базах даних Євростату включають лише підприємства, для яких країна, що складає звітність, є  кінцевою контролюючою країною.</w:t>
      </w:r>
    </w:p>
    <w:p w:rsidR="00E06B16" w:rsidRPr="00FE4B65" w:rsidRDefault="00E06B16" w:rsidP="00956ED2">
      <w:pPr>
        <w:pStyle w:val="Heading2"/>
        <w:spacing w:before="0" w:line="240" w:lineRule="auto"/>
      </w:pPr>
    </w:p>
    <w:p w:rsidR="00E06B16" w:rsidRPr="00FE4B65" w:rsidRDefault="00E06B16" w:rsidP="00956ED2">
      <w:pPr>
        <w:pStyle w:val="Heading2"/>
        <w:spacing w:before="0" w:line="240" w:lineRule="auto"/>
      </w:pPr>
      <w:r w:rsidRPr="00FE4B65">
        <w:t>Зіставність - географічна</w:t>
      </w:r>
    </w:p>
    <w:p w:rsidR="00E06B16" w:rsidRPr="00FE4B65" w:rsidRDefault="00E06B16" w:rsidP="00956ED2">
      <w:pPr>
        <w:pStyle w:val="NormalWeb"/>
        <w:spacing w:before="0" w:beforeAutospacing="0" w:after="0" w:afterAutospacing="0"/>
      </w:pPr>
      <w:r w:rsidRPr="00FE4B65">
        <w:t xml:space="preserve">Обстеження керується Регламентом (ЄС) № 716/2007 Парламенту і Ради від 20 червня 2007 року про статистику Співтовариства щодо структури та діяльності іноземних філій. </w:t>
      </w:r>
    </w:p>
    <w:p w:rsidR="00E06B16" w:rsidRPr="00FE4B65" w:rsidRDefault="00E06B16" w:rsidP="00956ED2">
      <w:pPr>
        <w:pStyle w:val="NormalWeb"/>
        <w:spacing w:before="0" w:beforeAutospacing="0" w:after="0" w:afterAutospacing="0"/>
      </w:pPr>
      <w:r w:rsidRPr="00FE4B65">
        <w:t xml:space="preserve">У сукупності, що використовується для обстеження датських іноземних філій, містяться всі відповідні підприємства, зареєстровані в Данії незалежно від того, чи вони контролюються Данією як їхньої кінцевою контролюючою країною, чи будь-якою іншою країною.    </w:t>
      </w:r>
    </w:p>
    <w:p w:rsidR="00E06B16" w:rsidRPr="00FE4B65" w:rsidRDefault="00E06B16" w:rsidP="00956ED2">
      <w:pPr>
        <w:pStyle w:val="NormalWeb"/>
        <w:spacing w:before="0" w:beforeAutospacing="0" w:after="0" w:afterAutospacing="0"/>
      </w:pPr>
      <w:r w:rsidRPr="00FE4B65">
        <w:t xml:space="preserve">Обстеження проводиться в більшості країн-членів ЄС. Але, внаслідок вищезазначених обставин, необхідно з обережністю підходити до порівняння під час зіставлення датських цифр (опублікованих Службою статистики Данії), з цифрами, наприклад, з бази даних Євростату. Датські цифри в базі даних Євростату стосуються іноземних філій, котрі є ексклюзивною власністю датських підприємств, кінцевою контролюючою країною яких є Данія.        </w:t>
      </w:r>
    </w:p>
    <w:p w:rsidR="00E06B16" w:rsidRPr="00FE4B65" w:rsidRDefault="00E06B16" w:rsidP="00956ED2">
      <w:pPr>
        <w:pStyle w:val="NormalWeb"/>
        <w:spacing w:before="0" w:beforeAutospacing="0" w:after="0" w:afterAutospacing="0"/>
      </w:pPr>
      <w:r w:rsidRPr="00FE4B65">
        <w:t xml:space="preserve">Так само слід відзначити, що між країнами можливі розбіжності у встановленні країни кінцевого контролю, що потенційно може впливати на цифри.  </w:t>
      </w:r>
    </w:p>
    <w:p w:rsidR="00E06B16" w:rsidRPr="00FE4B65" w:rsidRDefault="00E06B16" w:rsidP="00956ED2">
      <w:pPr>
        <w:pStyle w:val="Heading2"/>
        <w:spacing w:before="0" w:line="240" w:lineRule="auto"/>
      </w:pPr>
    </w:p>
    <w:p w:rsidR="00E06B16" w:rsidRPr="00FE4B65" w:rsidRDefault="00E06B16" w:rsidP="00956ED2">
      <w:pPr>
        <w:pStyle w:val="Heading2"/>
        <w:spacing w:before="0" w:line="240" w:lineRule="auto"/>
      </w:pPr>
      <w:r w:rsidRPr="00FE4B65">
        <w:t>Зіставність - часова</w:t>
      </w:r>
    </w:p>
    <w:p w:rsidR="00E06B16" w:rsidRPr="00FE4B65" w:rsidRDefault="00E06B16" w:rsidP="00956ED2">
      <w:pPr>
        <w:pStyle w:val="NormalWeb"/>
        <w:spacing w:before="0" w:beforeAutospacing="0" w:after="0" w:afterAutospacing="0"/>
      </w:pPr>
      <w:r w:rsidRPr="00FE4B65">
        <w:t>Починаючи з 2010 року й далі, класифікація діяльності закордонних філій базується на (Dansk Branchekode 2007), що є датською інтерпретацією NACE, Ред. 2.</w:t>
      </w:r>
    </w:p>
    <w:p w:rsidR="00E06B16" w:rsidRPr="00FE4B65" w:rsidRDefault="00E06B16" w:rsidP="00956ED2">
      <w:pPr>
        <w:pStyle w:val="NormalWeb"/>
        <w:spacing w:before="0" w:beforeAutospacing="0" w:after="0" w:afterAutospacing="0"/>
      </w:pPr>
      <w:r w:rsidRPr="00FE4B65">
        <w:t>Раніше діяльність класифікація діяльності закордонних філій за 2007-2009 роки базувалася на DB03 (Dansk Branchekode 2003) що є датською інтерпретацією NACE, Ред, 1.1.</w:t>
      </w:r>
    </w:p>
    <w:p w:rsidR="00E06B16" w:rsidRPr="00FE4B65" w:rsidRDefault="00E06B16" w:rsidP="00956ED2">
      <w:pPr>
        <w:pStyle w:val="NormalWeb"/>
        <w:spacing w:before="0" w:beforeAutospacing="0" w:after="0" w:afterAutospacing="0"/>
      </w:pPr>
      <w:r w:rsidRPr="00FE4B65">
        <w:t>Зміна кодів видів діяльності унеможливлює наявність довгих динамічних рядів щодо діяльності іноземних філій.</w:t>
      </w:r>
    </w:p>
    <w:p w:rsidR="00E06B16" w:rsidRPr="00FE4B65" w:rsidRDefault="00E06B16" w:rsidP="00956ED2">
      <w:pPr>
        <w:pStyle w:val="Heading2"/>
        <w:spacing w:before="0" w:line="240" w:lineRule="auto"/>
      </w:pPr>
    </w:p>
    <w:p w:rsidR="00E06B16" w:rsidRPr="00FE4B65" w:rsidRDefault="00E06B16" w:rsidP="00956ED2">
      <w:pPr>
        <w:pStyle w:val="Heading2"/>
        <w:spacing w:before="0" w:line="240" w:lineRule="auto"/>
      </w:pPr>
      <w:r w:rsidRPr="00FE4B65">
        <w:t>Узгодженість – за доменами</w:t>
      </w:r>
    </w:p>
    <w:p w:rsidR="00E06B16" w:rsidRPr="00FE4B65" w:rsidRDefault="00E06B16" w:rsidP="00956ED2">
      <w:pPr>
        <w:pStyle w:val="NormalWeb"/>
        <w:spacing w:before="0" w:beforeAutospacing="0" w:after="0" w:afterAutospacing="0"/>
      </w:pPr>
      <w:r w:rsidRPr="00FE4B65">
        <w:t xml:space="preserve">Під темою глобалізації збирається також інша статистика, наприклад, стосовно іноземних філій у Данії, що є також річною процедурою, а також, крім цього, спеціальне обстеження Міжнародного сорсингу 2001-2006 р.р.  </w:t>
      </w:r>
    </w:p>
    <w:p w:rsidR="00E06B16" w:rsidRPr="00FE4B65" w:rsidRDefault="00E06B16" w:rsidP="00956ED2">
      <w:pPr>
        <w:pStyle w:val="NormalWeb"/>
        <w:spacing w:before="0" w:beforeAutospacing="0" w:after="0" w:afterAutospacing="0"/>
      </w:pPr>
      <w:r w:rsidRPr="00FE4B65">
        <w:t xml:space="preserve">Ще одне спеціальне обстеження Міжнародного сорсингу проводилося за еталонний період 2009-2011 р.р. Це обстеження також включає деяку інформацію щодо датських іноземних філій.  </w:t>
      </w:r>
    </w:p>
    <w:p w:rsidR="00E06B16" w:rsidRPr="00FE4B65" w:rsidRDefault="00E06B16" w:rsidP="00956ED2">
      <w:pPr>
        <w:pStyle w:val="Heading2"/>
        <w:spacing w:before="0" w:line="240" w:lineRule="auto"/>
      </w:pPr>
    </w:p>
    <w:p w:rsidR="00E06B16" w:rsidRPr="00FE4B65" w:rsidRDefault="00E06B16" w:rsidP="00956ED2">
      <w:pPr>
        <w:pStyle w:val="Heading2"/>
        <w:spacing w:before="0" w:line="240" w:lineRule="auto"/>
      </w:pPr>
      <w:r w:rsidRPr="00FE4B65">
        <w:t>Узгодженість - внутрішня</w:t>
      </w:r>
    </w:p>
    <w:p w:rsidR="00E06B16" w:rsidRPr="00FE4B65" w:rsidRDefault="00E06B16" w:rsidP="00956ED2">
      <w:pPr>
        <w:pStyle w:val="NormalWeb"/>
        <w:spacing w:before="0" w:beforeAutospacing="0" w:after="0" w:afterAutospacing="0"/>
      </w:pPr>
      <w:r w:rsidRPr="00FE4B65">
        <w:t xml:space="preserve">Агреговані регіони та види діяльності розраховуються за більш детальною інформацією про дані, що забезпечує внутрішню узгодженість даних.  </w:t>
      </w:r>
    </w:p>
    <w:p w:rsidR="00E06B16" w:rsidRPr="00FE4B65" w:rsidRDefault="00E06B16" w:rsidP="00564294">
      <w:pPr>
        <w:pStyle w:val="Heading1"/>
        <w:jc w:val="center"/>
        <w:rPr>
          <w:sz w:val="28"/>
          <w:szCs w:val="28"/>
        </w:rPr>
      </w:pPr>
      <w:r w:rsidRPr="00FE4B65">
        <w:rPr>
          <w:sz w:val="28"/>
          <w:szCs w:val="28"/>
        </w:rPr>
        <w:t>Доступність та зрозумілість</w:t>
      </w:r>
    </w:p>
    <w:p w:rsidR="00E06B16" w:rsidRPr="00FE4B65" w:rsidRDefault="00E06B16" w:rsidP="00956ED2">
      <w:pPr>
        <w:pStyle w:val="NormalWeb"/>
        <w:spacing w:before="0" w:beforeAutospacing="0" w:after="0" w:afterAutospacing="0"/>
      </w:pPr>
      <w:r w:rsidRPr="00FE4B65">
        <w:t xml:space="preserve">Результати обстеження публікуються в інформаційному бюлетені Статистики Данії   (NYT fra Danmarks Statistik) (тільки датською мовою). Дослідники не мають доступу до мікроданих, але можливо замовити деякі спеціальні послуги щодо пошуку матеріалу.  </w:t>
      </w:r>
    </w:p>
    <w:p w:rsidR="00E06B16" w:rsidRPr="00FE4B65" w:rsidRDefault="00E06B16" w:rsidP="00956ED2">
      <w:pPr>
        <w:pStyle w:val="NormalWeb"/>
        <w:spacing w:before="0" w:beforeAutospacing="0" w:after="0" w:afterAutospacing="0"/>
      </w:pPr>
      <w:r w:rsidRPr="00FE4B65">
        <w:t>Статистичні дані та показники були задокументовані в TIMES.</w:t>
      </w:r>
    </w:p>
    <w:p w:rsidR="00E06B16" w:rsidRPr="00FE4B65" w:rsidRDefault="00E06B16" w:rsidP="00956ED2">
      <w:pPr>
        <w:pStyle w:val="NormalWeb"/>
        <w:spacing w:before="0" w:beforeAutospacing="0" w:after="0" w:afterAutospacing="0"/>
      </w:pPr>
      <w:r w:rsidRPr="00FE4B65">
        <w:t xml:space="preserve">Додаткова інформація міститься на сайті Служби статистики Данії в розділі </w:t>
      </w:r>
      <w:hyperlink r:id="rId9" w:history="1">
        <w:r w:rsidRPr="00FE4B65">
          <w:rPr>
            <w:rStyle w:val="Hyperlink"/>
          </w:rPr>
          <w:t>глобалізація</w:t>
        </w:r>
      </w:hyperlink>
      <w:r w:rsidRPr="00FE4B65">
        <w:t>.</w:t>
      </w:r>
    </w:p>
    <w:p w:rsidR="00E06B16" w:rsidRPr="00FE4B65" w:rsidRDefault="00E06B16" w:rsidP="00956ED2">
      <w:pPr>
        <w:pStyle w:val="Heading2"/>
        <w:spacing w:before="0" w:line="240" w:lineRule="auto"/>
      </w:pPr>
    </w:p>
    <w:p w:rsidR="00E06B16" w:rsidRPr="00FE4B65" w:rsidRDefault="00E06B16" w:rsidP="00956ED2">
      <w:pPr>
        <w:pStyle w:val="Heading2"/>
        <w:spacing w:before="0" w:line="240" w:lineRule="auto"/>
      </w:pPr>
      <w:r w:rsidRPr="00FE4B65">
        <w:t>Календар випуску</w:t>
      </w:r>
    </w:p>
    <w:p w:rsidR="00E06B16" w:rsidRPr="00FE4B65" w:rsidRDefault="00E06B16" w:rsidP="00956ED2">
      <w:pPr>
        <w:pStyle w:val="NormalWeb"/>
        <w:spacing w:before="0" w:beforeAutospacing="0" w:after="0" w:afterAutospacing="0"/>
      </w:pPr>
      <w:r w:rsidRPr="00FE4B65">
        <w:t>Дата публікації з’являється у Календарі випуску. Дата підтверджується декількома тижнями раніше.</w:t>
      </w:r>
    </w:p>
    <w:p w:rsidR="00E06B16" w:rsidRPr="00FE4B65" w:rsidRDefault="00E06B16" w:rsidP="00956ED2">
      <w:pPr>
        <w:pStyle w:val="Heading2"/>
        <w:spacing w:before="0" w:line="240" w:lineRule="auto"/>
      </w:pPr>
    </w:p>
    <w:p w:rsidR="00E06B16" w:rsidRPr="00FE4B65" w:rsidRDefault="00E06B16" w:rsidP="00956ED2">
      <w:pPr>
        <w:pStyle w:val="Heading2"/>
        <w:spacing w:before="0" w:line="240" w:lineRule="auto"/>
      </w:pPr>
      <w:r w:rsidRPr="00FE4B65">
        <w:t>Доступ до календаря випуску</w:t>
      </w:r>
    </w:p>
    <w:p w:rsidR="00E06B16" w:rsidRPr="00FE4B65" w:rsidRDefault="00E06B16" w:rsidP="00956ED2">
      <w:pPr>
        <w:pStyle w:val="NormalWeb"/>
        <w:spacing w:before="0" w:beforeAutospacing="0" w:after="0" w:afterAutospacing="0"/>
      </w:pPr>
      <w:r w:rsidRPr="00FE4B65">
        <w:t xml:space="preserve">Доступ до Календаря випуску можна отримати на англомовній версії нашого сайту: </w:t>
      </w:r>
      <w:hyperlink r:id="rId10" w:history="1">
        <w:r w:rsidRPr="00FE4B65">
          <w:rPr>
            <w:rStyle w:val="Hyperlink"/>
          </w:rPr>
          <w:t>Release Calendar</w:t>
        </w:r>
      </w:hyperlink>
      <w:r w:rsidRPr="00FE4B65">
        <w:t xml:space="preserve"> (Календар випуску).</w:t>
      </w:r>
    </w:p>
    <w:p w:rsidR="00E06B16" w:rsidRPr="00FE4B65" w:rsidRDefault="00E06B16" w:rsidP="00956ED2">
      <w:pPr>
        <w:pStyle w:val="Heading2"/>
        <w:spacing w:before="0" w:line="240" w:lineRule="auto"/>
      </w:pPr>
    </w:p>
    <w:p w:rsidR="00E06B16" w:rsidRPr="00FE4B65" w:rsidRDefault="00E06B16" w:rsidP="00956ED2">
      <w:pPr>
        <w:pStyle w:val="Heading2"/>
        <w:spacing w:before="0" w:line="240" w:lineRule="auto"/>
      </w:pPr>
      <w:r w:rsidRPr="00FE4B65">
        <w:t>Доступ користувачів</w:t>
      </w:r>
    </w:p>
    <w:p w:rsidR="00E06B16" w:rsidRPr="00FE4B65" w:rsidRDefault="00E06B16" w:rsidP="00956ED2">
      <w:pPr>
        <w:pStyle w:val="NormalWeb"/>
        <w:spacing w:before="0" w:beforeAutospacing="0" w:after="0" w:afterAutospacing="0"/>
      </w:pPr>
      <w:r w:rsidRPr="00FE4B65">
        <w:t xml:space="preserve">Статистичні дані завжди публікуються на 9:00 ранку дня, оголошеного в Календарі випуску. Ніхто за межами Служби статистики  Данії не може отримати доступ до статичних даних перед тим, як вони опубліковані. Тематичні публікації тощо можуть з’являтися в інші години того самого дня. Національний статистик може приймати рішення щодо випуску таких публікацій до часу їхньої офіційної опублікування, наприклад, для ЗМІ та інших зацікавлених сторін. </w:t>
      </w:r>
    </w:p>
    <w:p w:rsidR="00E06B16" w:rsidRPr="00FE4B65" w:rsidRDefault="00E06B16" w:rsidP="00956ED2">
      <w:pPr>
        <w:pStyle w:val="Heading2"/>
        <w:spacing w:before="0" w:line="240" w:lineRule="auto"/>
      </w:pPr>
    </w:p>
    <w:p w:rsidR="00E06B16" w:rsidRPr="00FE4B65" w:rsidRDefault="00E06B16" w:rsidP="00956ED2">
      <w:pPr>
        <w:pStyle w:val="Heading2"/>
        <w:spacing w:before="0" w:line="240" w:lineRule="auto"/>
      </w:pPr>
      <w:r w:rsidRPr="00FE4B65">
        <w:t>Випуски новин</w:t>
      </w:r>
    </w:p>
    <w:p w:rsidR="00E06B16" w:rsidRPr="00FE4B65" w:rsidRDefault="00E06B16" w:rsidP="00956ED2">
      <w:pPr>
        <w:pStyle w:val="NormalWeb"/>
        <w:spacing w:before="0" w:beforeAutospacing="0" w:after="0" w:afterAutospacing="0"/>
      </w:pPr>
      <w:r w:rsidRPr="00FE4B65">
        <w:t xml:space="preserve">Результати обстеження публікуються в бюлетені Служби статистики Данії «NYT fra Danmarks Statistik» (лише датською мовою). </w:t>
      </w:r>
      <w:hyperlink r:id="rId11" w:history="1">
        <w:r w:rsidRPr="00FE4B65">
          <w:rPr>
            <w:rStyle w:val="Hyperlink"/>
          </w:rPr>
          <w:t>Огляд бюлетеня з теми «Глобалізація»</w:t>
        </w:r>
      </w:hyperlink>
    </w:p>
    <w:p w:rsidR="00E06B16" w:rsidRPr="00FE4B65" w:rsidRDefault="00E06B16" w:rsidP="00956ED2">
      <w:pPr>
        <w:pStyle w:val="Heading2"/>
        <w:spacing w:before="0" w:line="240" w:lineRule="auto"/>
      </w:pPr>
    </w:p>
    <w:p w:rsidR="00E06B16" w:rsidRPr="00FE4B65" w:rsidRDefault="00E06B16" w:rsidP="00956ED2">
      <w:pPr>
        <w:pStyle w:val="Heading2"/>
        <w:spacing w:before="0" w:line="240" w:lineRule="auto"/>
      </w:pPr>
      <w:r w:rsidRPr="00FE4B65">
        <w:t>Публікації</w:t>
      </w:r>
    </w:p>
    <w:p w:rsidR="00E06B16" w:rsidRPr="00FE4B65" w:rsidRDefault="00E06B16" w:rsidP="00956ED2">
      <w:pPr>
        <w:pStyle w:val="NormalWeb"/>
        <w:spacing w:before="0" w:beforeAutospacing="0" w:after="0" w:afterAutospacing="0"/>
      </w:pPr>
      <w:r w:rsidRPr="00FE4B65">
        <w:t xml:space="preserve">Одноразова тематична публікація щодо участі датських компаній на світовому ринку: Grænseoverskridende virksomheder – Danske datterselskaber i udlandet 2008 (лише датською мовою, але з резюме англійською) Вона міститься тут: </w:t>
      </w:r>
      <w:hyperlink r:id="rId12" w:history="1">
        <w:r w:rsidRPr="00FE4B65">
          <w:rPr>
            <w:rStyle w:val="Hyperlink"/>
          </w:rPr>
          <w:t>Danske datterselskaber i udlandet 2008</w:t>
        </w:r>
      </w:hyperlink>
    </w:p>
    <w:p w:rsidR="00E06B16" w:rsidRPr="00FE4B65" w:rsidRDefault="00E06B16" w:rsidP="00956ED2">
      <w:pPr>
        <w:pStyle w:val="Heading2"/>
        <w:spacing w:before="0" w:line="240" w:lineRule="auto"/>
      </w:pPr>
    </w:p>
    <w:p w:rsidR="00E06B16" w:rsidRPr="00FE4B65" w:rsidRDefault="00E06B16" w:rsidP="00956ED2">
      <w:pPr>
        <w:pStyle w:val="Heading2"/>
        <w:spacing w:before="0" w:line="240" w:lineRule="auto"/>
      </w:pPr>
      <w:r w:rsidRPr="00FE4B65">
        <w:t>База даних «он-лайн»</w:t>
      </w:r>
    </w:p>
    <w:p w:rsidR="00E06B16" w:rsidRPr="00FE4B65" w:rsidRDefault="00E06B16" w:rsidP="00956ED2">
      <w:pPr>
        <w:pStyle w:val="NormalWeb"/>
        <w:spacing w:before="0" w:beforeAutospacing="0" w:after="0" w:afterAutospacing="0"/>
      </w:pPr>
      <w:r w:rsidRPr="00FE4B65">
        <w:t xml:space="preserve">Таблиці щодо датських іноземних філій наявні в статистичному банку даних </w:t>
      </w:r>
      <w:hyperlink r:id="rId13" w:history="1">
        <w:r w:rsidRPr="00FE4B65">
          <w:rPr>
            <w:rStyle w:val="Hyperlink"/>
          </w:rPr>
          <w:t>Посилання на огляд таблиці щодо датських іноземних філій</w:t>
        </w:r>
      </w:hyperlink>
    </w:p>
    <w:p w:rsidR="00E06B16" w:rsidRPr="00FE4B65" w:rsidRDefault="00E06B16" w:rsidP="00956ED2">
      <w:pPr>
        <w:pStyle w:val="Heading2"/>
        <w:spacing w:before="0" w:line="240" w:lineRule="auto"/>
      </w:pPr>
    </w:p>
    <w:p w:rsidR="00E06B16" w:rsidRPr="00FE4B65" w:rsidRDefault="00E06B16" w:rsidP="00956ED2">
      <w:pPr>
        <w:pStyle w:val="Heading2"/>
        <w:spacing w:before="0" w:line="240" w:lineRule="auto"/>
      </w:pPr>
      <w:r w:rsidRPr="00FE4B65">
        <w:t>Доступ до мікроданих</w:t>
      </w:r>
    </w:p>
    <w:p w:rsidR="00E06B16" w:rsidRPr="00FE4B65" w:rsidRDefault="00E06B16" w:rsidP="00956ED2">
      <w:pPr>
        <w:pStyle w:val="NormalWeb"/>
        <w:spacing w:before="0" w:beforeAutospacing="0" w:after="0" w:afterAutospacing="0"/>
      </w:pPr>
      <w:r w:rsidRPr="00FE4B65">
        <w:t xml:space="preserve">Витяги з опублікованих відкритих даних надаються на платні основі. Через конфіденційний характер даних, наданих підприємствами, дослідники не мають до них доступ.   </w:t>
      </w:r>
    </w:p>
    <w:p w:rsidR="00E06B16" w:rsidRPr="00FE4B65" w:rsidRDefault="00E06B16" w:rsidP="00956ED2">
      <w:pPr>
        <w:pStyle w:val="Heading2"/>
        <w:spacing w:before="0" w:line="240" w:lineRule="auto"/>
      </w:pPr>
    </w:p>
    <w:p w:rsidR="00E06B16" w:rsidRPr="00FE4B65" w:rsidRDefault="00E06B16" w:rsidP="00956ED2">
      <w:pPr>
        <w:pStyle w:val="Heading2"/>
        <w:spacing w:before="0" w:line="240" w:lineRule="auto"/>
      </w:pPr>
      <w:r w:rsidRPr="00FE4B65">
        <w:t>Інше</w:t>
      </w:r>
    </w:p>
    <w:p w:rsidR="00E06B16" w:rsidRPr="00FE4B65" w:rsidRDefault="00E06B16" w:rsidP="00956ED2">
      <w:pPr>
        <w:pStyle w:val="NormalWeb"/>
        <w:spacing w:before="0" w:beforeAutospacing="0" w:after="0" w:afterAutospacing="0"/>
      </w:pPr>
      <w:r w:rsidRPr="00FE4B65">
        <w:t>Зауважень немає.</w:t>
      </w:r>
    </w:p>
    <w:p w:rsidR="00E06B16" w:rsidRPr="00FE4B65" w:rsidRDefault="00E06B16" w:rsidP="00956ED2">
      <w:pPr>
        <w:pStyle w:val="Heading2"/>
        <w:spacing w:before="0" w:line="240" w:lineRule="auto"/>
      </w:pPr>
    </w:p>
    <w:p w:rsidR="00E06B16" w:rsidRPr="00FE4B65" w:rsidRDefault="00E06B16" w:rsidP="00956ED2">
      <w:pPr>
        <w:pStyle w:val="Heading2"/>
        <w:spacing w:before="0" w:line="240" w:lineRule="auto"/>
      </w:pPr>
      <w:r w:rsidRPr="00FE4B65">
        <w:t>Конфіденційність - політика</w:t>
      </w:r>
    </w:p>
    <w:p w:rsidR="00E06B16" w:rsidRPr="00FE4B65" w:rsidRDefault="00E06B16" w:rsidP="00956ED2">
      <w:pPr>
        <w:pStyle w:val="NormalWeb"/>
        <w:spacing w:before="0" w:beforeAutospacing="0" w:after="0" w:afterAutospacing="0"/>
      </w:pPr>
      <w:r w:rsidRPr="00FE4B65">
        <w:t>Статистика іноземних філій розповсюджується на рівні, для якого вимагається розгляд даних з точки зору конфіденційності. Мета цього – унеможливити ідентифікацію окремих підприємств.</w:t>
      </w:r>
    </w:p>
    <w:p w:rsidR="00E06B16" w:rsidRPr="00FE4B65" w:rsidRDefault="00E06B16" w:rsidP="00956ED2">
      <w:pPr>
        <w:pStyle w:val="NormalWeb"/>
        <w:spacing w:before="0" w:beforeAutospacing="0" w:after="0" w:afterAutospacing="0"/>
      </w:pPr>
      <w:r w:rsidRPr="00FE4B65">
        <w:t xml:space="preserve">Це означає, що розповсюдження результатів обстеження дотримується політики Служби статистики Данії щодо конфіденційності (лише датською мовою) </w:t>
      </w:r>
      <w:hyperlink r:id="rId14" w:history="1">
        <w:r w:rsidRPr="00FE4B65">
          <w:rPr>
            <w:rStyle w:val="Hyperlink"/>
          </w:rPr>
          <w:t>Посилання</w:t>
        </w:r>
      </w:hyperlink>
      <w:r w:rsidRPr="00FE4B65">
        <w:t xml:space="preserve">. У практичних термінах це значить, що інформація, яка стосується менш ніж трьох звітних одиниць, не розповсюджується.  </w:t>
      </w:r>
    </w:p>
    <w:p w:rsidR="00E06B16" w:rsidRPr="00FE4B65" w:rsidRDefault="00E06B16" w:rsidP="00956ED2">
      <w:pPr>
        <w:pStyle w:val="Heading2"/>
        <w:spacing w:before="0" w:line="240" w:lineRule="auto"/>
      </w:pPr>
    </w:p>
    <w:p w:rsidR="00E06B16" w:rsidRPr="00FE4B65" w:rsidRDefault="00E06B16" w:rsidP="00956ED2">
      <w:pPr>
        <w:pStyle w:val="Heading2"/>
        <w:spacing w:before="0" w:line="240" w:lineRule="auto"/>
      </w:pPr>
      <w:r w:rsidRPr="00FE4B65">
        <w:t>Конфіденційність – обробка даних</w:t>
      </w:r>
    </w:p>
    <w:p w:rsidR="00E06B16" w:rsidRPr="00FE4B65" w:rsidRDefault="00E06B16" w:rsidP="00956ED2">
      <w:pPr>
        <w:pStyle w:val="NormalWeb"/>
        <w:spacing w:before="0" w:beforeAutospacing="0" w:after="0" w:afterAutospacing="0"/>
      </w:pPr>
      <w:r w:rsidRPr="00FE4B65">
        <w:t xml:space="preserve">Інформація про датські іноземні філії публікується на рівні деталізації, який потребує розгляд з точки зору конфіденційності, щоб унеможливити ідентифікацію окремих підприємств. Це означає, що інформація, яка стосується менш ніж трьох звітних одиниць, не розголошується. У практичних термінах це значить, що групування за основним видом діяльності групуватимуться разом, тобто, на більш агрегованому рівні, і ця інформація, наприклад, стосовно індивідуального рівні країни, не розголошуватиметься.  </w:t>
      </w:r>
    </w:p>
    <w:p w:rsidR="00E06B16" w:rsidRPr="00FE4B65" w:rsidRDefault="00E06B16" w:rsidP="00956ED2">
      <w:pPr>
        <w:pStyle w:val="Heading2"/>
        <w:spacing w:before="0" w:line="240" w:lineRule="auto"/>
      </w:pPr>
    </w:p>
    <w:p w:rsidR="00E06B16" w:rsidRPr="00FE4B65" w:rsidRDefault="00E06B16" w:rsidP="00956ED2">
      <w:pPr>
        <w:pStyle w:val="Heading2"/>
        <w:spacing w:before="0" w:line="240" w:lineRule="auto"/>
      </w:pPr>
      <w:r w:rsidRPr="00FE4B65">
        <w:t>Документація з методології</w:t>
      </w:r>
    </w:p>
    <w:p w:rsidR="00E06B16" w:rsidRPr="00FE4B65" w:rsidRDefault="00E06B16" w:rsidP="00956ED2">
      <w:pPr>
        <w:pStyle w:val="NormalWeb"/>
        <w:spacing w:before="0" w:beforeAutospacing="0" w:after="0" w:afterAutospacing="0"/>
      </w:pPr>
      <w:r w:rsidRPr="00FE4B65">
        <w:t>Статистичні показники документуються в програмі TIMES (лише датською мовою) [Статистика датських іноземних філій у TIMES] (http://http://www.dst.dk/da/Statistik/dokumentation/Times/danske-datterselskaber-i-udlandet--outward-fats-.aspx)</w:t>
      </w:r>
    </w:p>
    <w:p w:rsidR="00E06B16" w:rsidRPr="00FE4B65" w:rsidRDefault="00E06B16" w:rsidP="00956ED2">
      <w:pPr>
        <w:pStyle w:val="NormalWeb"/>
        <w:spacing w:before="0" w:beforeAutospacing="0" w:after="0" w:afterAutospacing="0"/>
      </w:pPr>
      <w:r w:rsidRPr="00FE4B65">
        <w:t>Інший опис методів не доступний.</w:t>
      </w:r>
    </w:p>
    <w:p w:rsidR="00E06B16" w:rsidRPr="00FE4B65" w:rsidRDefault="00E06B16" w:rsidP="00956ED2">
      <w:pPr>
        <w:pStyle w:val="Heading2"/>
        <w:spacing w:before="0" w:line="240" w:lineRule="auto"/>
      </w:pPr>
    </w:p>
    <w:p w:rsidR="00E06B16" w:rsidRPr="00FE4B65" w:rsidRDefault="00E06B16" w:rsidP="00956ED2">
      <w:pPr>
        <w:pStyle w:val="Heading2"/>
        <w:spacing w:before="0" w:line="240" w:lineRule="auto"/>
      </w:pPr>
      <w:bookmarkStart w:id="0" w:name="_GoBack"/>
      <w:bookmarkEnd w:id="0"/>
      <w:r w:rsidRPr="00FE4B65">
        <w:t>Документування якості</w:t>
      </w:r>
    </w:p>
    <w:p w:rsidR="00E06B16" w:rsidRPr="00FE4B65" w:rsidRDefault="00E06B16" w:rsidP="00C00B58">
      <w:pPr>
        <w:pStyle w:val="NormalWeb"/>
        <w:spacing w:before="0" w:beforeAutospacing="0" w:after="0" w:afterAutospacing="0"/>
      </w:pPr>
      <w:r w:rsidRPr="00FE4B65">
        <w:t>Звіти за результатами оцінки якості продукції та процесів будуть доступні в деталях для конкретної області статистики та в підсумкових звітах для Наглядової ради з питань якості.</w:t>
      </w:r>
    </w:p>
    <w:sectPr w:rsidR="00E06B16" w:rsidRPr="00FE4B65" w:rsidSect="00CF16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Calibri"/>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A24B7"/>
    <w:multiLevelType w:val="multilevel"/>
    <w:tmpl w:val="8B34E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6ED2"/>
    <w:rsid w:val="00031284"/>
    <w:rsid w:val="000644C1"/>
    <w:rsid w:val="000A6548"/>
    <w:rsid w:val="000F3E3D"/>
    <w:rsid w:val="0011325B"/>
    <w:rsid w:val="00155794"/>
    <w:rsid w:val="00184C08"/>
    <w:rsid w:val="001D6492"/>
    <w:rsid w:val="002545D4"/>
    <w:rsid w:val="002E1FDB"/>
    <w:rsid w:val="00314C71"/>
    <w:rsid w:val="003458E0"/>
    <w:rsid w:val="00376BBB"/>
    <w:rsid w:val="0039041F"/>
    <w:rsid w:val="003C0F83"/>
    <w:rsid w:val="003D1BFB"/>
    <w:rsid w:val="003D42C6"/>
    <w:rsid w:val="00424A72"/>
    <w:rsid w:val="00443652"/>
    <w:rsid w:val="00471329"/>
    <w:rsid w:val="004848A9"/>
    <w:rsid w:val="004D23BC"/>
    <w:rsid w:val="0053751B"/>
    <w:rsid w:val="00543613"/>
    <w:rsid w:val="00555F26"/>
    <w:rsid w:val="00564294"/>
    <w:rsid w:val="005C6DE2"/>
    <w:rsid w:val="00601582"/>
    <w:rsid w:val="006356C7"/>
    <w:rsid w:val="00666739"/>
    <w:rsid w:val="006D59ED"/>
    <w:rsid w:val="006F4CB0"/>
    <w:rsid w:val="007E5E42"/>
    <w:rsid w:val="00804CF4"/>
    <w:rsid w:val="0082638E"/>
    <w:rsid w:val="00843B02"/>
    <w:rsid w:val="00845C3B"/>
    <w:rsid w:val="00846BE3"/>
    <w:rsid w:val="00874B94"/>
    <w:rsid w:val="00930688"/>
    <w:rsid w:val="00943282"/>
    <w:rsid w:val="00956ED2"/>
    <w:rsid w:val="00977A0E"/>
    <w:rsid w:val="00982A99"/>
    <w:rsid w:val="00985CE9"/>
    <w:rsid w:val="00A1077F"/>
    <w:rsid w:val="00A94D26"/>
    <w:rsid w:val="00AC3F9D"/>
    <w:rsid w:val="00AF5F7F"/>
    <w:rsid w:val="00BA7334"/>
    <w:rsid w:val="00C00B58"/>
    <w:rsid w:val="00C30D54"/>
    <w:rsid w:val="00C427E9"/>
    <w:rsid w:val="00C67235"/>
    <w:rsid w:val="00C67722"/>
    <w:rsid w:val="00C7326C"/>
    <w:rsid w:val="00CF1621"/>
    <w:rsid w:val="00CF5393"/>
    <w:rsid w:val="00E06B16"/>
    <w:rsid w:val="00E2039A"/>
    <w:rsid w:val="00E53D5E"/>
    <w:rsid w:val="00E663A2"/>
    <w:rsid w:val="00EB545C"/>
    <w:rsid w:val="00F957A1"/>
    <w:rsid w:val="00FE4B65"/>
    <w:rsid w:val="00FF75B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621"/>
    <w:pPr>
      <w:spacing w:after="160" w:line="259" w:lineRule="auto"/>
    </w:pPr>
    <w:rPr>
      <w:lang w:val="uk-UA" w:eastAsia="en-US"/>
    </w:rPr>
  </w:style>
  <w:style w:type="paragraph" w:styleId="Heading1">
    <w:name w:val="heading 1"/>
    <w:basedOn w:val="Normal"/>
    <w:link w:val="Heading1Char"/>
    <w:uiPriority w:val="99"/>
    <w:qFormat/>
    <w:rsid w:val="00956ED2"/>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paragraph" w:styleId="Heading2">
    <w:name w:val="heading 2"/>
    <w:basedOn w:val="Normal"/>
    <w:next w:val="Normal"/>
    <w:link w:val="Heading2Char"/>
    <w:uiPriority w:val="99"/>
    <w:qFormat/>
    <w:rsid w:val="00956ED2"/>
    <w:pPr>
      <w:keepNext/>
      <w:keepLines/>
      <w:spacing w:before="40" w:after="0"/>
      <w:outlineLvl w:val="1"/>
    </w:pPr>
    <w:rPr>
      <w:rFonts w:ascii="Calibri Light" w:eastAsia="Times New Roman" w:hAnsi="Calibri Light"/>
      <w:color w:val="2E74B5"/>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56ED2"/>
    <w:rPr>
      <w:rFonts w:ascii="Times New Roman" w:hAnsi="Times New Roman" w:cs="Times New Roman"/>
      <w:b/>
      <w:bCs/>
      <w:kern w:val="36"/>
      <w:sz w:val="48"/>
      <w:szCs w:val="48"/>
      <w:lang w:eastAsia="uk-UA"/>
    </w:rPr>
  </w:style>
  <w:style w:type="character" w:customStyle="1" w:styleId="Heading2Char">
    <w:name w:val="Heading 2 Char"/>
    <w:basedOn w:val="DefaultParagraphFont"/>
    <w:link w:val="Heading2"/>
    <w:uiPriority w:val="99"/>
    <w:semiHidden/>
    <w:locked/>
    <w:rsid w:val="00956ED2"/>
    <w:rPr>
      <w:rFonts w:ascii="Calibri Light" w:hAnsi="Calibri Light" w:cs="Times New Roman"/>
      <w:color w:val="2E74B5"/>
      <w:sz w:val="26"/>
      <w:szCs w:val="26"/>
    </w:rPr>
  </w:style>
  <w:style w:type="paragraph" w:styleId="NormalWeb">
    <w:name w:val="Normal (Web)"/>
    <w:basedOn w:val="Normal"/>
    <w:uiPriority w:val="99"/>
    <w:rsid w:val="00956ED2"/>
    <w:pPr>
      <w:spacing w:before="100" w:beforeAutospacing="1" w:after="100" w:afterAutospacing="1" w:line="240" w:lineRule="auto"/>
    </w:pPr>
    <w:rPr>
      <w:rFonts w:ascii="Times New Roman" w:eastAsia="Times New Roman" w:hAnsi="Times New Roman"/>
      <w:sz w:val="24"/>
      <w:szCs w:val="24"/>
      <w:lang w:eastAsia="uk-UA"/>
    </w:rPr>
  </w:style>
  <w:style w:type="character" w:styleId="Hyperlink">
    <w:name w:val="Hyperlink"/>
    <w:basedOn w:val="DefaultParagraphFont"/>
    <w:uiPriority w:val="99"/>
    <w:semiHidden/>
    <w:rsid w:val="00956ED2"/>
    <w:rPr>
      <w:rFonts w:cs="Times New Roman"/>
      <w:color w:val="0000FF"/>
      <w:u w:val="single"/>
    </w:rPr>
  </w:style>
  <w:style w:type="character" w:styleId="Strong">
    <w:name w:val="Strong"/>
    <w:basedOn w:val="DefaultParagraphFont"/>
    <w:uiPriority w:val="99"/>
    <w:qFormat/>
    <w:rsid w:val="00956ED2"/>
    <w:rPr>
      <w:rFonts w:cs="Times New Roman"/>
      <w:b/>
      <w:bCs/>
    </w:rPr>
  </w:style>
</w:styles>
</file>

<file path=word/webSettings.xml><?xml version="1.0" encoding="utf-8"?>
<w:webSettings xmlns:r="http://schemas.openxmlformats.org/officeDocument/2006/relationships" xmlns:w="http://schemas.openxmlformats.org/wordprocessingml/2006/main">
  <w:divs>
    <w:div w:id="1476945030">
      <w:marLeft w:val="0"/>
      <w:marRight w:val="0"/>
      <w:marTop w:val="0"/>
      <w:marBottom w:val="0"/>
      <w:divBdr>
        <w:top w:val="none" w:sz="0" w:space="0" w:color="auto"/>
        <w:left w:val="none" w:sz="0" w:space="0" w:color="auto"/>
        <w:bottom w:val="none" w:sz="0" w:space="0" w:color="auto"/>
        <w:right w:val="none" w:sz="0" w:space="0" w:color="auto"/>
      </w:divBdr>
      <w:divsChild>
        <w:div w:id="1476945032">
          <w:marLeft w:val="0"/>
          <w:marRight w:val="0"/>
          <w:marTop w:val="0"/>
          <w:marBottom w:val="0"/>
          <w:divBdr>
            <w:top w:val="none" w:sz="0" w:space="0" w:color="auto"/>
            <w:left w:val="none" w:sz="0" w:space="0" w:color="auto"/>
            <w:bottom w:val="none" w:sz="0" w:space="0" w:color="auto"/>
            <w:right w:val="none" w:sz="0" w:space="0" w:color="auto"/>
          </w:divBdr>
        </w:div>
      </w:divsChild>
    </w:div>
    <w:div w:id="1476945031">
      <w:marLeft w:val="0"/>
      <w:marRight w:val="0"/>
      <w:marTop w:val="0"/>
      <w:marBottom w:val="0"/>
      <w:divBdr>
        <w:top w:val="none" w:sz="0" w:space="0" w:color="auto"/>
        <w:left w:val="none" w:sz="0" w:space="0" w:color="auto"/>
        <w:bottom w:val="none" w:sz="0" w:space="0" w:color="auto"/>
        <w:right w:val="none" w:sz="0" w:space="0" w:color="auto"/>
      </w:divBdr>
    </w:div>
    <w:div w:id="1476945033">
      <w:marLeft w:val="0"/>
      <w:marRight w:val="0"/>
      <w:marTop w:val="0"/>
      <w:marBottom w:val="0"/>
      <w:divBdr>
        <w:top w:val="none" w:sz="0" w:space="0" w:color="auto"/>
        <w:left w:val="none" w:sz="0" w:space="0" w:color="auto"/>
        <w:bottom w:val="none" w:sz="0" w:space="0" w:color="auto"/>
        <w:right w:val="none" w:sz="0" w:space="0" w:color="auto"/>
      </w:divBdr>
    </w:div>
    <w:div w:id="1476945034">
      <w:marLeft w:val="0"/>
      <w:marRight w:val="0"/>
      <w:marTop w:val="0"/>
      <w:marBottom w:val="0"/>
      <w:divBdr>
        <w:top w:val="none" w:sz="0" w:space="0" w:color="auto"/>
        <w:left w:val="none" w:sz="0" w:space="0" w:color="auto"/>
        <w:bottom w:val="none" w:sz="0" w:space="0" w:color="auto"/>
        <w:right w:val="none" w:sz="0" w:space="0" w:color="auto"/>
      </w:divBdr>
      <w:divsChild>
        <w:div w:id="1476945054">
          <w:marLeft w:val="0"/>
          <w:marRight w:val="0"/>
          <w:marTop w:val="0"/>
          <w:marBottom w:val="0"/>
          <w:divBdr>
            <w:top w:val="none" w:sz="0" w:space="0" w:color="auto"/>
            <w:left w:val="none" w:sz="0" w:space="0" w:color="auto"/>
            <w:bottom w:val="none" w:sz="0" w:space="0" w:color="auto"/>
            <w:right w:val="none" w:sz="0" w:space="0" w:color="auto"/>
          </w:divBdr>
          <w:divsChild>
            <w:div w:id="147694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45035">
      <w:marLeft w:val="0"/>
      <w:marRight w:val="0"/>
      <w:marTop w:val="0"/>
      <w:marBottom w:val="0"/>
      <w:divBdr>
        <w:top w:val="none" w:sz="0" w:space="0" w:color="auto"/>
        <w:left w:val="none" w:sz="0" w:space="0" w:color="auto"/>
        <w:bottom w:val="none" w:sz="0" w:space="0" w:color="auto"/>
        <w:right w:val="none" w:sz="0" w:space="0" w:color="auto"/>
      </w:divBdr>
      <w:divsChild>
        <w:div w:id="1476945043">
          <w:marLeft w:val="0"/>
          <w:marRight w:val="0"/>
          <w:marTop w:val="0"/>
          <w:marBottom w:val="0"/>
          <w:divBdr>
            <w:top w:val="none" w:sz="0" w:space="0" w:color="auto"/>
            <w:left w:val="none" w:sz="0" w:space="0" w:color="auto"/>
            <w:bottom w:val="none" w:sz="0" w:space="0" w:color="auto"/>
            <w:right w:val="none" w:sz="0" w:space="0" w:color="auto"/>
          </w:divBdr>
        </w:div>
      </w:divsChild>
    </w:div>
    <w:div w:id="1476945037">
      <w:marLeft w:val="0"/>
      <w:marRight w:val="0"/>
      <w:marTop w:val="0"/>
      <w:marBottom w:val="0"/>
      <w:divBdr>
        <w:top w:val="none" w:sz="0" w:space="0" w:color="auto"/>
        <w:left w:val="none" w:sz="0" w:space="0" w:color="auto"/>
        <w:bottom w:val="none" w:sz="0" w:space="0" w:color="auto"/>
        <w:right w:val="none" w:sz="0" w:space="0" w:color="auto"/>
      </w:divBdr>
      <w:divsChild>
        <w:div w:id="1476945046">
          <w:marLeft w:val="0"/>
          <w:marRight w:val="0"/>
          <w:marTop w:val="0"/>
          <w:marBottom w:val="0"/>
          <w:divBdr>
            <w:top w:val="none" w:sz="0" w:space="0" w:color="auto"/>
            <w:left w:val="none" w:sz="0" w:space="0" w:color="auto"/>
            <w:bottom w:val="none" w:sz="0" w:space="0" w:color="auto"/>
            <w:right w:val="none" w:sz="0" w:space="0" w:color="auto"/>
          </w:divBdr>
        </w:div>
      </w:divsChild>
    </w:div>
    <w:div w:id="1476945038">
      <w:marLeft w:val="0"/>
      <w:marRight w:val="0"/>
      <w:marTop w:val="0"/>
      <w:marBottom w:val="0"/>
      <w:divBdr>
        <w:top w:val="none" w:sz="0" w:space="0" w:color="auto"/>
        <w:left w:val="none" w:sz="0" w:space="0" w:color="auto"/>
        <w:bottom w:val="none" w:sz="0" w:space="0" w:color="auto"/>
        <w:right w:val="none" w:sz="0" w:space="0" w:color="auto"/>
      </w:divBdr>
    </w:div>
    <w:div w:id="1476945039">
      <w:marLeft w:val="0"/>
      <w:marRight w:val="0"/>
      <w:marTop w:val="0"/>
      <w:marBottom w:val="0"/>
      <w:divBdr>
        <w:top w:val="none" w:sz="0" w:space="0" w:color="auto"/>
        <w:left w:val="none" w:sz="0" w:space="0" w:color="auto"/>
        <w:bottom w:val="none" w:sz="0" w:space="0" w:color="auto"/>
        <w:right w:val="none" w:sz="0" w:space="0" w:color="auto"/>
      </w:divBdr>
    </w:div>
    <w:div w:id="1476945041">
      <w:marLeft w:val="0"/>
      <w:marRight w:val="0"/>
      <w:marTop w:val="0"/>
      <w:marBottom w:val="0"/>
      <w:divBdr>
        <w:top w:val="none" w:sz="0" w:space="0" w:color="auto"/>
        <w:left w:val="none" w:sz="0" w:space="0" w:color="auto"/>
        <w:bottom w:val="none" w:sz="0" w:space="0" w:color="auto"/>
        <w:right w:val="none" w:sz="0" w:space="0" w:color="auto"/>
      </w:divBdr>
    </w:div>
    <w:div w:id="1476945042">
      <w:marLeft w:val="0"/>
      <w:marRight w:val="0"/>
      <w:marTop w:val="0"/>
      <w:marBottom w:val="0"/>
      <w:divBdr>
        <w:top w:val="none" w:sz="0" w:space="0" w:color="auto"/>
        <w:left w:val="none" w:sz="0" w:space="0" w:color="auto"/>
        <w:bottom w:val="none" w:sz="0" w:space="0" w:color="auto"/>
        <w:right w:val="none" w:sz="0" w:space="0" w:color="auto"/>
      </w:divBdr>
    </w:div>
    <w:div w:id="1476945044">
      <w:marLeft w:val="0"/>
      <w:marRight w:val="0"/>
      <w:marTop w:val="0"/>
      <w:marBottom w:val="0"/>
      <w:divBdr>
        <w:top w:val="none" w:sz="0" w:space="0" w:color="auto"/>
        <w:left w:val="none" w:sz="0" w:space="0" w:color="auto"/>
        <w:bottom w:val="none" w:sz="0" w:space="0" w:color="auto"/>
        <w:right w:val="none" w:sz="0" w:space="0" w:color="auto"/>
      </w:divBdr>
      <w:divsChild>
        <w:div w:id="1476945036">
          <w:marLeft w:val="0"/>
          <w:marRight w:val="0"/>
          <w:marTop w:val="0"/>
          <w:marBottom w:val="0"/>
          <w:divBdr>
            <w:top w:val="none" w:sz="0" w:space="0" w:color="auto"/>
            <w:left w:val="none" w:sz="0" w:space="0" w:color="auto"/>
            <w:bottom w:val="none" w:sz="0" w:space="0" w:color="auto"/>
            <w:right w:val="none" w:sz="0" w:space="0" w:color="auto"/>
          </w:divBdr>
        </w:div>
      </w:divsChild>
    </w:div>
    <w:div w:id="1476945045">
      <w:marLeft w:val="0"/>
      <w:marRight w:val="0"/>
      <w:marTop w:val="0"/>
      <w:marBottom w:val="0"/>
      <w:divBdr>
        <w:top w:val="none" w:sz="0" w:space="0" w:color="auto"/>
        <w:left w:val="none" w:sz="0" w:space="0" w:color="auto"/>
        <w:bottom w:val="none" w:sz="0" w:space="0" w:color="auto"/>
        <w:right w:val="none" w:sz="0" w:space="0" w:color="auto"/>
      </w:divBdr>
    </w:div>
    <w:div w:id="1476945047">
      <w:marLeft w:val="0"/>
      <w:marRight w:val="0"/>
      <w:marTop w:val="0"/>
      <w:marBottom w:val="0"/>
      <w:divBdr>
        <w:top w:val="none" w:sz="0" w:space="0" w:color="auto"/>
        <w:left w:val="none" w:sz="0" w:space="0" w:color="auto"/>
        <w:bottom w:val="none" w:sz="0" w:space="0" w:color="auto"/>
        <w:right w:val="none" w:sz="0" w:space="0" w:color="auto"/>
      </w:divBdr>
    </w:div>
    <w:div w:id="1476945048">
      <w:marLeft w:val="0"/>
      <w:marRight w:val="0"/>
      <w:marTop w:val="0"/>
      <w:marBottom w:val="0"/>
      <w:divBdr>
        <w:top w:val="none" w:sz="0" w:space="0" w:color="auto"/>
        <w:left w:val="none" w:sz="0" w:space="0" w:color="auto"/>
        <w:bottom w:val="none" w:sz="0" w:space="0" w:color="auto"/>
        <w:right w:val="none" w:sz="0" w:space="0" w:color="auto"/>
      </w:divBdr>
      <w:divsChild>
        <w:div w:id="1476945040">
          <w:marLeft w:val="0"/>
          <w:marRight w:val="0"/>
          <w:marTop w:val="0"/>
          <w:marBottom w:val="0"/>
          <w:divBdr>
            <w:top w:val="none" w:sz="0" w:space="0" w:color="auto"/>
            <w:left w:val="none" w:sz="0" w:space="0" w:color="auto"/>
            <w:bottom w:val="none" w:sz="0" w:space="0" w:color="auto"/>
            <w:right w:val="none" w:sz="0" w:space="0" w:color="auto"/>
          </w:divBdr>
        </w:div>
      </w:divsChild>
    </w:div>
    <w:div w:id="1476945049">
      <w:marLeft w:val="0"/>
      <w:marRight w:val="0"/>
      <w:marTop w:val="0"/>
      <w:marBottom w:val="0"/>
      <w:divBdr>
        <w:top w:val="none" w:sz="0" w:space="0" w:color="auto"/>
        <w:left w:val="none" w:sz="0" w:space="0" w:color="auto"/>
        <w:bottom w:val="none" w:sz="0" w:space="0" w:color="auto"/>
        <w:right w:val="none" w:sz="0" w:space="0" w:color="auto"/>
      </w:divBdr>
      <w:divsChild>
        <w:div w:id="1476945051">
          <w:marLeft w:val="0"/>
          <w:marRight w:val="0"/>
          <w:marTop w:val="0"/>
          <w:marBottom w:val="0"/>
          <w:divBdr>
            <w:top w:val="none" w:sz="0" w:space="0" w:color="auto"/>
            <w:left w:val="none" w:sz="0" w:space="0" w:color="auto"/>
            <w:bottom w:val="none" w:sz="0" w:space="0" w:color="auto"/>
            <w:right w:val="none" w:sz="0" w:space="0" w:color="auto"/>
          </w:divBdr>
        </w:div>
      </w:divsChild>
    </w:div>
    <w:div w:id="1476945050">
      <w:marLeft w:val="0"/>
      <w:marRight w:val="0"/>
      <w:marTop w:val="0"/>
      <w:marBottom w:val="0"/>
      <w:divBdr>
        <w:top w:val="none" w:sz="0" w:space="0" w:color="auto"/>
        <w:left w:val="none" w:sz="0" w:space="0" w:color="auto"/>
        <w:bottom w:val="none" w:sz="0" w:space="0" w:color="auto"/>
        <w:right w:val="none" w:sz="0" w:space="0" w:color="auto"/>
      </w:divBdr>
      <w:divsChild>
        <w:div w:id="1476945053">
          <w:marLeft w:val="0"/>
          <w:marRight w:val="0"/>
          <w:marTop w:val="0"/>
          <w:marBottom w:val="0"/>
          <w:divBdr>
            <w:top w:val="none" w:sz="0" w:space="0" w:color="auto"/>
            <w:left w:val="none" w:sz="0" w:space="0" w:color="auto"/>
            <w:bottom w:val="none" w:sz="0" w:space="0" w:color="auto"/>
            <w:right w:val="none" w:sz="0" w:space="0" w:color="auto"/>
          </w:divBdr>
        </w:div>
      </w:divsChild>
    </w:div>
    <w:div w:id="14769450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t.dk/en/OmDS/strategi-og-kvalitet/revisionspolitik.aspx" TargetMode="External"/><Relationship Id="rId13" Type="http://schemas.openxmlformats.org/officeDocument/2006/relationships/hyperlink" Target="http://www.dst.dk/stattabel/1575" TargetMode="External"/><Relationship Id="rId3" Type="http://schemas.openxmlformats.org/officeDocument/2006/relationships/settings" Target="settings.xml"/><Relationship Id="rId7" Type="http://schemas.openxmlformats.org/officeDocument/2006/relationships/hyperlink" Target="http://www.dst.dk/globalisation" TargetMode="External"/><Relationship Id="rId12" Type="http://schemas.openxmlformats.org/officeDocument/2006/relationships/hyperlink" Target="http://dst.dk/pubomtale/1585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dst.dk/db07" TargetMode="External"/><Relationship Id="rId11" Type="http://schemas.openxmlformats.org/officeDocument/2006/relationships/hyperlink" Target="http://www.dst.dk/globalisering" TargetMode="External"/><Relationship Id="rId5" Type="http://schemas.openxmlformats.org/officeDocument/2006/relationships/hyperlink" Target="http://www.dst.dk/en/Statistik/dokumentation/declarations/danish-foreign-affiliates" TargetMode="External"/><Relationship Id="rId15" Type="http://schemas.openxmlformats.org/officeDocument/2006/relationships/fontTable" Target="fontTable.xml"/><Relationship Id="rId10" Type="http://schemas.openxmlformats.org/officeDocument/2006/relationships/hyperlink" Target="http://www.dst.dk/en/Statistik/offentliggoerelser.aspx" TargetMode="External"/><Relationship Id="rId4" Type="http://schemas.openxmlformats.org/officeDocument/2006/relationships/webSettings" Target="webSettings.xml"/><Relationship Id="rId9" Type="http://schemas.openxmlformats.org/officeDocument/2006/relationships/hyperlink" Target="http://www.dst.dk/globalisation" TargetMode="External"/><Relationship Id="rId14" Type="http://schemas.openxmlformats.org/officeDocument/2006/relationships/hyperlink" Target="http://www.dst.dk/ext/292786082/0/Datafortrolighedspolitik-i-Danmarks-Statisti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429</TotalTime>
  <Pages>11</Pages>
  <Words>4314</Words>
  <Characters>24591</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Звіт з якості OFAT: http://www</dc:title>
  <dc:subject/>
  <dc:creator>O.Kolpakova</dc:creator>
  <cp:keywords/>
  <dc:description/>
  <cp:lastModifiedBy>Admin</cp:lastModifiedBy>
  <cp:revision>11</cp:revision>
  <dcterms:created xsi:type="dcterms:W3CDTF">2015-09-06T17:10:00Z</dcterms:created>
  <dcterms:modified xsi:type="dcterms:W3CDTF">2015-09-17T16:00:00Z</dcterms:modified>
</cp:coreProperties>
</file>