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EB" w:rsidRPr="005F331D" w:rsidRDefault="00C317EB" w:rsidP="00C317EB">
      <w:pPr>
        <w:pStyle w:val="a3"/>
        <w:rPr>
          <w:rFonts w:ascii="Times New Roman" w:hAnsi="Times New Roman"/>
          <w:b/>
          <w:lang w:val="uk-UA"/>
        </w:rPr>
      </w:pPr>
      <w:r w:rsidRPr="00B85410">
        <w:rPr>
          <w:rFonts w:ascii="Times New Roman" w:hAnsi="Times New Roman"/>
          <w:b/>
          <w:lang w:val="uk-UA"/>
        </w:rPr>
        <w:t>КОНТРАКТ ТВІННІНГ</w:t>
      </w:r>
    </w:p>
    <w:p w:rsidR="00C317EB" w:rsidRPr="005F331D" w:rsidRDefault="00C317EB" w:rsidP="00C317EB">
      <w:pPr>
        <w:pStyle w:val="a3"/>
        <w:rPr>
          <w:rFonts w:ascii="Times New Roman" w:hAnsi="Times New Roman"/>
          <w:b/>
          <w:sz w:val="40"/>
          <w:szCs w:val="40"/>
          <w:lang w:val="ru-RU"/>
        </w:rPr>
      </w:pPr>
    </w:p>
    <w:p w:rsidR="00C317EB" w:rsidRPr="005F331D" w:rsidRDefault="00C317EB" w:rsidP="00C317EB">
      <w:pPr>
        <w:jc w:val="center"/>
        <w:rPr>
          <w:b/>
          <w:sz w:val="40"/>
          <w:szCs w:val="40"/>
          <w:lang w:val="ru-RU"/>
        </w:rPr>
      </w:pPr>
      <w:r w:rsidRPr="005F331D">
        <w:rPr>
          <w:b/>
          <w:spacing w:val="2"/>
          <w:sz w:val="40"/>
          <w:szCs w:val="40"/>
        </w:rPr>
        <w:t>Сприяння процесам удосконалення Державної служби статистики України з метою покращення її потенціалу та продукції</w:t>
      </w:r>
    </w:p>
    <w:p w:rsidR="00C317EB" w:rsidRPr="005F331D" w:rsidRDefault="00C317EB" w:rsidP="00C317EB">
      <w:pPr>
        <w:jc w:val="center"/>
        <w:rPr>
          <w:b/>
          <w:snapToGrid w:val="0"/>
          <w:sz w:val="40"/>
          <w:szCs w:val="20"/>
          <w:lang w:val="ru-RU" w:eastAsia="en-GB"/>
        </w:rPr>
      </w:pPr>
    </w:p>
    <w:p w:rsidR="00C317EB" w:rsidRPr="005F331D" w:rsidRDefault="00C317EB" w:rsidP="00C317EB">
      <w:pPr>
        <w:jc w:val="center"/>
        <w:rPr>
          <w:b/>
          <w:snapToGrid w:val="0"/>
          <w:sz w:val="40"/>
          <w:szCs w:val="20"/>
          <w:lang w:val="ru-RU" w:eastAsia="en-GB"/>
        </w:rPr>
      </w:pPr>
      <w:r w:rsidRPr="00B85410">
        <w:rPr>
          <w:b/>
          <w:snapToGrid w:val="0"/>
          <w:sz w:val="40"/>
          <w:szCs w:val="20"/>
          <w:lang w:val="uk-UA" w:eastAsia="en-GB"/>
        </w:rPr>
        <w:t>Україна</w:t>
      </w:r>
    </w:p>
    <w:p w:rsidR="00C317EB" w:rsidRPr="005F331D" w:rsidRDefault="00C317EB" w:rsidP="00C317EB">
      <w:pPr>
        <w:tabs>
          <w:tab w:val="left" w:pos="8412"/>
        </w:tabs>
        <w:rPr>
          <w:rFonts w:ascii="Verdana" w:hAnsi="Verdana"/>
          <w:b/>
          <w:sz w:val="28"/>
          <w:szCs w:val="28"/>
          <w:lang w:val="ru-RU"/>
        </w:rPr>
      </w:pPr>
    </w:p>
    <w:p w:rsidR="00C317EB" w:rsidRPr="005F331D" w:rsidRDefault="00C317EB" w:rsidP="00C317EB">
      <w:pPr>
        <w:jc w:val="both"/>
        <w:rPr>
          <w:b/>
          <w:sz w:val="16"/>
          <w:lang w:val="ru-RU"/>
        </w:rPr>
      </w:pPr>
    </w:p>
    <w:p w:rsidR="00C317EB" w:rsidRPr="005F331D" w:rsidRDefault="00C317EB" w:rsidP="00C317EB">
      <w:pPr>
        <w:jc w:val="both"/>
        <w:rPr>
          <w:b/>
          <w:sz w:val="16"/>
          <w:lang w:val="ru-RU"/>
        </w:rPr>
      </w:pPr>
    </w:p>
    <w:p w:rsidR="00C317EB" w:rsidRPr="005F331D" w:rsidRDefault="00C317EB" w:rsidP="00C317EB">
      <w:pPr>
        <w:jc w:val="both"/>
        <w:rPr>
          <w:b/>
          <w:sz w:val="16"/>
          <w:lang w:val="ru-RU"/>
        </w:rPr>
      </w:pPr>
    </w:p>
    <w:p w:rsidR="00C317EB" w:rsidRPr="005F331D" w:rsidRDefault="00C317EB" w:rsidP="00C317EB">
      <w:pPr>
        <w:jc w:val="both"/>
        <w:rPr>
          <w:sz w:val="28"/>
          <w:lang w:val="ru-RU"/>
        </w:rPr>
      </w:pPr>
    </w:p>
    <w:p w:rsidR="00C317EB" w:rsidRPr="005F331D" w:rsidRDefault="00C317EB" w:rsidP="00C317EB">
      <w:pPr>
        <w:jc w:val="both"/>
        <w:rPr>
          <w:sz w:val="28"/>
          <w:lang w:val="ru-RU"/>
        </w:rPr>
      </w:pPr>
    </w:p>
    <w:p w:rsidR="00C317EB" w:rsidRPr="005F331D" w:rsidRDefault="00C317EB" w:rsidP="00C317EB">
      <w:pPr>
        <w:jc w:val="both"/>
        <w:rPr>
          <w:sz w:val="28"/>
          <w:lang w:val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63040" cy="948690"/>
            <wp:effectExtent l="0" t="0" r="3810" b="3810"/>
            <wp:wrapNone/>
            <wp:docPr id="3" name="Рисунок 3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7EB" w:rsidRPr="005F331D" w:rsidRDefault="00C317EB" w:rsidP="00C317EB">
      <w:pPr>
        <w:jc w:val="both"/>
        <w:rPr>
          <w:sz w:val="28"/>
          <w:lang w:val="ru-RU"/>
        </w:rPr>
      </w:pPr>
    </w:p>
    <w:p w:rsidR="00C317EB" w:rsidRPr="005F331D" w:rsidRDefault="00C317EB" w:rsidP="00C317EB">
      <w:pPr>
        <w:jc w:val="both"/>
        <w:rPr>
          <w:lang w:val="ru-RU"/>
        </w:rPr>
      </w:pPr>
    </w:p>
    <w:p w:rsidR="00C317EB" w:rsidRPr="005F331D" w:rsidRDefault="00C317EB" w:rsidP="00C317EB">
      <w:pPr>
        <w:jc w:val="both"/>
        <w:rPr>
          <w:lang w:val="ru-RU"/>
        </w:rPr>
      </w:pPr>
    </w:p>
    <w:p w:rsidR="00C317EB" w:rsidRPr="005F331D" w:rsidRDefault="00C317EB" w:rsidP="00C317EB">
      <w:pPr>
        <w:jc w:val="both"/>
        <w:rPr>
          <w:lang w:val="ru-RU"/>
        </w:rPr>
      </w:pPr>
    </w:p>
    <w:p w:rsidR="00C317EB" w:rsidRPr="005F331D" w:rsidRDefault="00C317EB" w:rsidP="00C317EB">
      <w:pPr>
        <w:jc w:val="both"/>
        <w:rPr>
          <w:lang w:val="ru-RU"/>
        </w:rPr>
      </w:pPr>
    </w:p>
    <w:p w:rsidR="00C317EB" w:rsidRPr="005F331D" w:rsidRDefault="00C317EB" w:rsidP="00C317EB">
      <w:pPr>
        <w:jc w:val="center"/>
        <w:rPr>
          <w:lang w:val="ru-RU"/>
        </w:rPr>
      </w:pPr>
    </w:p>
    <w:p w:rsidR="00C317EB" w:rsidRPr="005F331D" w:rsidRDefault="00C317EB" w:rsidP="00C317EB">
      <w:pPr>
        <w:jc w:val="center"/>
        <w:rPr>
          <w:sz w:val="40"/>
          <w:lang w:val="ru-RU"/>
        </w:rPr>
      </w:pPr>
    </w:p>
    <w:p w:rsidR="00C317EB" w:rsidRPr="00B85410" w:rsidRDefault="00C317EB" w:rsidP="00C317EB">
      <w:pPr>
        <w:jc w:val="center"/>
        <w:outlineLvl w:val="0"/>
        <w:rPr>
          <w:b/>
          <w:sz w:val="32"/>
          <w:szCs w:val="32"/>
          <w:lang w:val="ru-RU"/>
        </w:rPr>
      </w:pPr>
      <w:bookmarkStart w:id="0" w:name="_Toc373744020"/>
      <w:r w:rsidRPr="00B85410">
        <w:rPr>
          <w:b/>
          <w:sz w:val="32"/>
          <w:szCs w:val="32"/>
          <w:lang w:val="uk-UA"/>
        </w:rPr>
        <w:t>ЗВІТ ПРО ЗДІЙСНЕННЯ НАВЧАЛЬНОГО ВІЗИТУ</w:t>
      </w:r>
    </w:p>
    <w:bookmarkEnd w:id="0"/>
    <w:p w:rsidR="00C317EB" w:rsidRPr="005F331D" w:rsidRDefault="00C317EB" w:rsidP="00C317EB">
      <w:pPr>
        <w:jc w:val="center"/>
        <w:rPr>
          <w:b/>
          <w:sz w:val="28"/>
          <w:lang w:val="ru-RU"/>
        </w:rPr>
      </w:pPr>
    </w:p>
    <w:p w:rsidR="00C317EB" w:rsidRPr="005F331D" w:rsidRDefault="00C317EB" w:rsidP="00C317EB">
      <w:pPr>
        <w:jc w:val="center"/>
        <w:rPr>
          <w:b/>
          <w:sz w:val="28"/>
          <w:lang w:val="uk-UA"/>
        </w:rPr>
      </w:pPr>
      <w:proofErr w:type="gramStart"/>
      <w:r w:rsidRPr="005F331D">
        <w:rPr>
          <w:b/>
          <w:sz w:val="28"/>
          <w:lang w:val="ru-RU"/>
        </w:rPr>
        <w:t>до</w:t>
      </w:r>
      <w:proofErr w:type="gramEnd"/>
      <w:r w:rsidRPr="005F331D">
        <w:rPr>
          <w:b/>
          <w:sz w:val="28"/>
          <w:lang w:val="ru-RU"/>
        </w:rPr>
        <w:t xml:space="preserve"> </w:t>
      </w:r>
      <w:proofErr w:type="gramStart"/>
      <w:r w:rsidRPr="005F331D">
        <w:rPr>
          <w:b/>
          <w:sz w:val="28"/>
          <w:lang w:val="ru-RU"/>
        </w:rPr>
        <w:t>Департаменту</w:t>
      </w:r>
      <w:proofErr w:type="gramEnd"/>
      <w:r w:rsidRPr="005F331D">
        <w:rPr>
          <w:b/>
          <w:sz w:val="28"/>
          <w:lang w:val="ru-RU"/>
        </w:rPr>
        <w:t xml:space="preserve"> статистики </w:t>
      </w:r>
      <w:proofErr w:type="spellStart"/>
      <w:r w:rsidRPr="005F331D">
        <w:rPr>
          <w:b/>
          <w:sz w:val="28"/>
          <w:lang w:val="ru-RU"/>
        </w:rPr>
        <w:t>Литовської</w:t>
      </w:r>
      <w:proofErr w:type="spellEnd"/>
      <w:r w:rsidRPr="005F331D">
        <w:rPr>
          <w:b/>
          <w:sz w:val="28"/>
          <w:lang w:val="ru-RU"/>
        </w:rPr>
        <w:t xml:space="preserve"> </w:t>
      </w:r>
      <w:proofErr w:type="spellStart"/>
      <w:r w:rsidRPr="005F331D">
        <w:rPr>
          <w:b/>
          <w:sz w:val="28"/>
          <w:lang w:val="ru-RU"/>
        </w:rPr>
        <w:t>Республіки</w:t>
      </w:r>
      <w:proofErr w:type="spellEnd"/>
    </w:p>
    <w:p w:rsidR="00C317EB" w:rsidRPr="005F331D" w:rsidRDefault="00C317EB" w:rsidP="00C317EB">
      <w:pPr>
        <w:jc w:val="center"/>
        <w:rPr>
          <w:b/>
          <w:sz w:val="28"/>
          <w:lang w:val="ru-RU"/>
        </w:rPr>
      </w:pPr>
    </w:p>
    <w:p w:rsidR="00C317EB" w:rsidRPr="00C317EB" w:rsidRDefault="00C317EB" w:rsidP="00C317EB">
      <w:pPr>
        <w:jc w:val="center"/>
        <w:rPr>
          <w:b/>
          <w:sz w:val="28"/>
          <w:lang w:val="ru-RU"/>
        </w:rPr>
      </w:pPr>
      <w:r w:rsidRPr="00B85410">
        <w:rPr>
          <w:b/>
          <w:sz w:val="28"/>
          <w:lang w:val="uk-UA"/>
        </w:rPr>
        <w:t xml:space="preserve">Компонент </w:t>
      </w:r>
      <w:r w:rsidRPr="005F331D">
        <w:rPr>
          <w:b/>
          <w:sz w:val="28"/>
          <w:lang w:val="ru-RU"/>
        </w:rPr>
        <w:t>12</w:t>
      </w:r>
      <w:r w:rsidRPr="00B85410">
        <w:rPr>
          <w:b/>
          <w:sz w:val="28"/>
          <w:lang w:val="uk-UA"/>
        </w:rPr>
        <w:t xml:space="preserve">, захід </w:t>
      </w:r>
      <w:r w:rsidRPr="00C317EB">
        <w:rPr>
          <w:b/>
          <w:sz w:val="28"/>
          <w:lang w:val="ru-RU"/>
        </w:rPr>
        <w:t>12.</w:t>
      </w:r>
      <w:r w:rsidRPr="005F331D">
        <w:rPr>
          <w:b/>
          <w:sz w:val="28"/>
          <w:lang w:val="uk-UA"/>
        </w:rPr>
        <w:t>2</w:t>
      </w:r>
      <w:r w:rsidRPr="00C317EB">
        <w:rPr>
          <w:b/>
          <w:sz w:val="28"/>
          <w:lang w:val="ru-RU"/>
        </w:rPr>
        <w:t xml:space="preserve"> </w:t>
      </w:r>
    </w:p>
    <w:p w:rsidR="00C317EB" w:rsidRPr="005F331D" w:rsidRDefault="00C317EB" w:rsidP="00C317EB">
      <w:pPr>
        <w:pStyle w:val="7"/>
        <w:rPr>
          <w:rFonts w:ascii="Times New Roman" w:hAnsi="Times New Roman"/>
          <w:lang w:val="pl-PL"/>
        </w:rPr>
      </w:pPr>
    </w:p>
    <w:p w:rsidR="00C317EB" w:rsidRPr="005F331D" w:rsidRDefault="00C317EB" w:rsidP="00C317EB">
      <w:pPr>
        <w:spacing w:line="288" w:lineRule="auto"/>
        <w:jc w:val="center"/>
        <w:outlineLvl w:val="0"/>
        <w:rPr>
          <w:sz w:val="22"/>
          <w:lang w:val="uk-UA"/>
        </w:rPr>
      </w:pPr>
      <w:r w:rsidRPr="00B85410">
        <w:rPr>
          <w:sz w:val="22"/>
          <w:lang w:val="uk-UA"/>
        </w:rPr>
        <w:t>Учасники навчального візиту:</w:t>
      </w:r>
    </w:p>
    <w:p w:rsidR="00C317EB" w:rsidRPr="00B85410" w:rsidRDefault="00C317EB" w:rsidP="00C317EB">
      <w:pPr>
        <w:spacing w:line="288" w:lineRule="auto"/>
        <w:outlineLvl w:val="0"/>
        <w:rPr>
          <w:sz w:val="22"/>
          <w:lang w:val="uk-UA"/>
        </w:rPr>
      </w:pPr>
      <w:r w:rsidRPr="005F331D">
        <w:rPr>
          <w:sz w:val="22"/>
          <w:lang w:val="ru-RU"/>
        </w:rPr>
        <w:t xml:space="preserve">Осипова </w:t>
      </w:r>
      <w:proofErr w:type="spellStart"/>
      <w:r w:rsidRPr="005F331D">
        <w:rPr>
          <w:sz w:val="22"/>
          <w:lang w:val="ru-RU"/>
        </w:rPr>
        <w:t>Інна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Ігорівна</w:t>
      </w:r>
      <w:proofErr w:type="spellEnd"/>
      <w:r w:rsidRPr="005F331D">
        <w:rPr>
          <w:sz w:val="22"/>
          <w:lang w:val="ru-RU"/>
        </w:rPr>
        <w:t xml:space="preserve"> – директор департаменту </w:t>
      </w:r>
      <w:proofErr w:type="spellStart"/>
      <w:r w:rsidRPr="005F331D">
        <w:rPr>
          <w:sz w:val="22"/>
          <w:lang w:val="ru-RU"/>
        </w:rPr>
        <w:t>обстежень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домогосподарств</w:t>
      </w:r>
      <w:proofErr w:type="spellEnd"/>
    </w:p>
    <w:p w:rsidR="00C317EB" w:rsidRPr="00B85410" w:rsidRDefault="00C317EB" w:rsidP="00C317EB">
      <w:pPr>
        <w:spacing w:line="288" w:lineRule="auto"/>
        <w:outlineLvl w:val="0"/>
        <w:rPr>
          <w:sz w:val="22"/>
          <w:lang w:val="uk-UA"/>
        </w:rPr>
      </w:pPr>
      <w:proofErr w:type="spellStart"/>
      <w:proofErr w:type="gramStart"/>
      <w:r w:rsidRPr="005F331D">
        <w:rPr>
          <w:sz w:val="22"/>
          <w:lang w:val="ru-RU"/>
        </w:rPr>
        <w:t>Пл</w:t>
      </w:r>
      <w:proofErr w:type="gramEnd"/>
      <w:r w:rsidRPr="005F331D">
        <w:rPr>
          <w:sz w:val="22"/>
          <w:lang w:val="ru-RU"/>
        </w:rPr>
        <w:t>іско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Ксенія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Юріївна</w:t>
      </w:r>
      <w:proofErr w:type="spellEnd"/>
      <w:r w:rsidRPr="005F331D">
        <w:rPr>
          <w:sz w:val="22"/>
          <w:lang w:val="ru-RU"/>
        </w:rPr>
        <w:t xml:space="preserve"> – заступник директора департаменту </w:t>
      </w:r>
      <w:proofErr w:type="spellStart"/>
      <w:r w:rsidRPr="005F331D">
        <w:rPr>
          <w:sz w:val="22"/>
          <w:lang w:val="ru-RU"/>
        </w:rPr>
        <w:t>обстежень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домогосподарств</w:t>
      </w:r>
      <w:proofErr w:type="spellEnd"/>
      <w:r w:rsidRPr="005F331D">
        <w:rPr>
          <w:sz w:val="22"/>
          <w:lang w:val="ru-RU"/>
        </w:rPr>
        <w:t xml:space="preserve">–начальник </w:t>
      </w:r>
      <w:proofErr w:type="spellStart"/>
      <w:r w:rsidRPr="005F331D">
        <w:rPr>
          <w:sz w:val="22"/>
          <w:lang w:val="ru-RU"/>
        </w:rPr>
        <w:t>відділу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організаційно-методологічного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забезпечення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обстеження</w:t>
      </w:r>
      <w:proofErr w:type="spellEnd"/>
      <w:r w:rsidRPr="005F331D">
        <w:rPr>
          <w:sz w:val="22"/>
          <w:lang w:val="ru-RU"/>
        </w:rPr>
        <w:t xml:space="preserve"> умов </w:t>
      </w:r>
      <w:proofErr w:type="spellStart"/>
      <w:r w:rsidRPr="005F331D">
        <w:rPr>
          <w:sz w:val="22"/>
          <w:lang w:val="ru-RU"/>
        </w:rPr>
        <w:t>життя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домогосподарств</w:t>
      </w:r>
      <w:proofErr w:type="spellEnd"/>
    </w:p>
    <w:p w:rsidR="00C317EB" w:rsidRPr="00B85410" w:rsidRDefault="00C317EB" w:rsidP="00C317EB">
      <w:pPr>
        <w:spacing w:line="288" w:lineRule="auto"/>
        <w:outlineLvl w:val="0"/>
        <w:rPr>
          <w:sz w:val="22"/>
          <w:lang w:val="uk-UA"/>
        </w:rPr>
      </w:pPr>
      <w:r w:rsidRPr="005F331D">
        <w:rPr>
          <w:sz w:val="22"/>
          <w:lang w:val="ru-RU"/>
        </w:rPr>
        <w:t xml:space="preserve">Новиченко Марина </w:t>
      </w:r>
      <w:proofErr w:type="spellStart"/>
      <w:r w:rsidRPr="005F331D">
        <w:rPr>
          <w:sz w:val="22"/>
          <w:lang w:val="ru-RU"/>
        </w:rPr>
        <w:t>Володимирівна</w:t>
      </w:r>
      <w:proofErr w:type="spellEnd"/>
      <w:r w:rsidRPr="005F331D">
        <w:rPr>
          <w:sz w:val="22"/>
          <w:lang w:val="ru-RU"/>
        </w:rPr>
        <w:t xml:space="preserve"> – начальник </w:t>
      </w:r>
      <w:proofErr w:type="spellStart"/>
      <w:r w:rsidRPr="005F331D">
        <w:rPr>
          <w:sz w:val="22"/>
          <w:lang w:val="ru-RU"/>
        </w:rPr>
        <w:t>відділу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proofErr w:type="gramStart"/>
      <w:r w:rsidRPr="005F331D">
        <w:rPr>
          <w:sz w:val="22"/>
          <w:lang w:val="ru-RU"/>
        </w:rPr>
        <w:t>п</w:t>
      </w:r>
      <w:proofErr w:type="gramEnd"/>
      <w:r w:rsidRPr="005F331D">
        <w:rPr>
          <w:sz w:val="22"/>
          <w:lang w:val="ru-RU"/>
        </w:rPr>
        <w:t>ідготовки</w:t>
      </w:r>
      <w:proofErr w:type="spellEnd"/>
      <w:r w:rsidRPr="005F331D">
        <w:rPr>
          <w:sz w:val="22"/>
          <w:lang w:val="ru-RU"/>
        </w:rPr>
        <w:t xml:space="preserve"> та </w:t>
      </w:r>
      <w:proofErr w:type="spellStart"/>
      <w:r w:rsidRPr="005F331D">
        <w:rPr>
          <w:sz w:val="22"/>
          <w:lang w:val="ru-RU"/>
        </w:rPr>
        <w:t>поширення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даних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обстеження</w:t>
      </w:r>
      <w:proofErr w:type="spellEnd"/>
      <w:r w:rsidRPr="005F331D">
        <w:rPr>
          <w:sz w:val="22"/>
          <w:lang w:val="ru-RU"/>
        </w:rPr>
        <w:t xml:space="preserve"> умов </w:t>
      </w:r>
      <w:proofErr w:type="spellStart"/>
      <w:r w:rsidRPr="005F331D">
        <w:rPr>
          <w:sz w:val="22"/>
          <w:lang w:val="ru-RU"/>
        </w:rPr>
        <w:t>життя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домогосподарств</w:t>
      </w:r>
      <w:proofErr w:type="spellEnd"/>
    </w:p>
    <w:p w:rsidR="00C317EB" w:rsidRPr="005F331D" w:rsidRDefault="00C317EB" w:rsidP="00C317EB">
      <w:pPr>
        <w:spacing w:line="288" w:lineRule="auto"/>
        <w:outlineLvl w:val="0"/>
        <w:rPr>
          <w:sz w:val="22"/>
          <w:lang w:val="ru-RU"/>
        </w:rPr>
      </w:pPr>
      <w:proofErr w:type="spellStart"/>
      <w:r w:rsidRPr="005F331D">
        <w:rPr>
          <w:sz w:val="22"/>
          <w:lang w:val="ru-RU"/>
        </w:rPr>
        <w:t>Ямпольська</w:t>
      </w:r>
      <w:proofErr w:type="spellEnd"/>
      <w:r w:rsidRPr="005F331D">
        <w:rPr>
          <w:sz w:val="22"/>
          <w:lang w:val="ru-RU"/>
        </w:rPr>
        <w:t xml:space="preserve"> Оксана </w:t>
      </w:r>
      <w:proofErr w:type="spellStart"/>
      <w:r w:rsidRPr="005F331D">
        <w:rPr>
          <w:sz w:val="22"/>
          <w:lang w:val="ru-RU"/>
        </w:rPr>
        <w:t>Олександрівна</w:t>
      </w:r>
      <w:proofErr w:type="spellEnd"/>
      <w:r w:rsidRPr="005F331D">
        <w:rPr>
          <w:sz w:val="22"/>
          <w:lang w:val="ru-RU"/>
        </w:rPr>
        <w:t xml:space="preserve"> – заступник начальника </w:t>
      </w:r>
      <w:proofErr w:type="spellStart"/>
      <w:r w:rsidRPr="005F331D">
        <w:rPr>
          <w:sz w:val="22"/>
          <w:lang w:val="ru-RU"/>
        </w:rPr>
        <w:t>відділу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proofErr w:type="gramStart"/>
      <w:r w:rsidRPr="005F331D">
        <w:rPr>
          <w:sz w:val="22"/>
          <w:lang w:val="ru-RU"/>
        </w:rPr>
        <w:t>п</w:t>
      </w:r>
      <w:proofErr w:type="gramEnd"/>
      <w:r w:rsidRPr="005F331D">
        <w:rPr>
          <w:sz w:val="22"/>
          <w:lang w:val="ru-RU"/>
        </w:rPr>
        <w:t>ідготовки</w:t>
      </w:r>
      <w:proofErr w:type="spellEnd"/>
      <w:r w:rsidRPr="005F331D">
        <w:rPr>
          <w:sz w:val="22"/>
          <w:lang w:val="ru-RU"/>
        </w:rPr>
        <w:t xml:space="preserve"> та </w:t>
      </w:r>
      <w:proofErr w:type="spellStart"/>
      <w:r w:rsidRPr="005F331D">
        <w:rPr>
          <w:sz w:val="22"/>
          <w:lang w:val="ru-RU"/>
        </w:rPr>
        <w:t>поширення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даних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обстеження</w:t>
      </w:r>
      <w:proofErr w:type="spellEnd"/>
      <w:r w:rsidRPr="005F331D">
        <w:rPr>
          <w:sz w:val="22"/>
          <w:lang w:val="ru-RU"/>
        </w:rPr>
        <w:t xml:space="preserve"> умов </w:t>
      </w:r>
      <w:proofErr w:type="spellStart"/>
      <w:r w:rsidRPr="005F331D">
        <w:rPr>
          <w:sz w:val="22"/>
          <w:lang w:val="ru-RU"/>
        </w:rPr>
        <w:t>життя</w:t>
      </w:r>
      <w:proofErr w:type="spellEnd"/>
      <w:r w:rsidRPr="005F331D">
        <w:rPr>
          <w:sz w:val="22"/>
          <w:lang w:val="ru-RU"/>
        </w:rPr>
        <w:t xml:space="preserve"> </w:t>
      </w:r>
      <w:proofErr w:type="spellStart"/>
      <w:r w:rsidRPr="005F331D">
        <w:rPr>
          <w:sz w:val="22"/>
          <w:lang w:val="ru-RU"/>
        </w:rPr>
        <w:t>домогосподарств</w:t>
      </w:r>
      <w:proofErr w:type="spellEnd"/>
    </w:p>
    <w:p w:rsidR="00C317EB" w:rsidRPr="005F331D" w:rsidRDefault="00C317EB" w:rsidP="00C317EB">
      <w:pPr>
        <w:jc w:val="both"/>
        <w:rPr>
          <w:sz w:val="22"/>
          <w:lang w:val="ru-RU"/>
        </w:rPr>
      </w:pPr>
    </w:p>
    <w:p w:rsidR="00C317EB" w:rsidRPr="005F331D" w:rsidRDefault="00C317EB" w:rsidP="00C317EB">
      <w:pPr>
        <w:jc w:val="center"/>
        <w:rPr>
          <w:sz w:val="22"/>
          <w:lang w:val="ru-R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7"/>
        <w:gridCol w:w="2234"/>
        <w:gridCol w:w="3687"/>
      </w:tblGrid>
      <w:tr w:rsidR="00C317EB" w:rsidRPr="005F331D" w:rsidTr="005F331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367" w:type="dxa"/>
            <w:shd w:val="clear" w:color="auto" w:fill="FFFFFF"/>
          </w:tcPr>
          <w:p w:rsidR="00C317EB" w:rsidRPr="00B85410" w:rsidRDefault="00C317EB" w:rsidP="005F331D">
            <w:pPr>
              <w:jc w:val="center"/>
              <w:rPr>
                <w:sz w:val="22"/>
                <w:lang w:val="en-GB"/>
              </w:rPr>
            </w:pPr>
            <w:r>
              <w:rPr>
                <w:noProof/>
                <w:sz w:val="22"/>
                <w:lang w:val="uk-UA" w:eastAsia="uk-UA"/>
              </w:rPr>
              <w:drawing>
                <wp:inline distT="0" distB="0" distL="0" distR="0">
                  <wp:extent cx="1071245" cy="548640"/>
                  <wp:effectExtent l="0" t="0" r="0" b="3810"/>
                  <wp:docPr id="2" name="Рисунок 2" descr="Q:\PPT\SAMLING\JV\Logo2013\LogoUk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" descr="Q:\PPT\SAMLING\JV\Logo2013\LogoUkPr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FFFFFF"/>
          </w:tcPr>
          <w:p w:rsidR="00C317EB" w:rsidRPr="005F331D" w:rsidRDefault="00C317EB" w:rsidP="005F331D">
            <w:pPr>
              <w:pStyle w:val="a3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687" w:type="dxa"/>
            <w:shd w:val="clear" w:color="auto" w:fill="FFFFFF"/>
          </w:tcPr>
          <w:p w:rsidR="00C317EB" w:rsidRPr="005F331D" w:rsidRDefault="00C317EB" w:rsidP="005F331D">
            <w:pPr>
              <w:pStyle w:val="a3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noProof/>
                <w:sz w:val="22"/>
                <w:lang w:val="uk-UA" w:eastAsia="uk-UA"/>
              </w:rPr>
              <w:drawing>
                <wp:inline distT="0" distB="0" distL="0" distR="0">
                  <wp:extent cx="2386330" cy="487680"/>
                  <wp:effectExtent l="0" t="0" r="0" b="7620"/>
                  <wp:docPr id="1" name="Рисунок 1" descr="logo_ins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ins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7EB" w:rsidRPr="005F331D" w:rsidTr="005F331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67" w:type="dxa"/>
            <w:shd w:val="clear" w:color="auto" w:fill="FFFFFF"/>
          </w:tcPr>
          <w:p w:rsidR="00C317EB" w:rsidRPr="005F331D" w:rsidRDefault="00C317EB" w:rsidP="005F331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2234" w:type="dxa"/>
            <w:shd w:val="clear" w:color="auto" w:fill="FFFFFF"/>
          </w:tcPr>
          <w:p w:rsidR="00C317EB" w:rsidRPr="005F331D" w:rsidRDefault="00C317EB" w:rsidP="005F331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31D">
              <w:rPr>
                <w:rFonts w:ascii="Times New Roman" w:hAnsi="Times New Roman"/>
                <w:sz w:val="24"/>
                <w:szCs w:val="24"/>
                <w:lang w:val="uk-UA"/>
              </w:rPr>
              <w:t>Київ – 2014</w:t>
            </w:r>
          </w:p>
        </w:tc>
        <w:tc>
          <w:tcPr>
            <w:tcW w:w="3687" w:type="dxa"/>
            <w:shd w:val="clear" w:color="auto" w:fill="FFFFFF"/>
          </w:tcPr>
          <w:p w:rsidR="00C317EB" w:rsidRPr="00B85410" w:rsidRDefault="00C317EB" w:rsidP="005F331D">
            <w:pPr>
              <w:pStyle w:val="a3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C317EB" w:rsidRPr="005F331D" w:rsidRDefault="00C317EB" w:rsidP="00C317EB">
      <w:pPr>
        <w:jc w:val="center"/>
        <w:rPr>
          <w:i/>
          <w:sz w:val="22"/>
          <w:lang w:val="en-GB"/>
        </w:rPr>
      </w:pPr>
    </w:p>
    <w:p w:rsidR="00C317EB" w:rsidRPr="005F331D" w:rsidRDefault="00C317EB" w:rsidP="00C317EB">
      <w:pPr>
        <w:rPr>
          <w:lang w:val="en-GB"/>
        </w:rPr>
      </w:pPr>
    </w:p>
    <w:p w:rsidR="00C317EB" w:rsidRPr="005F331D" w:rsidRDefault="00C317EB" w:rsidP="00C317EB">
      <w:pPr>
        <w:jc w:val="both"/>
        <w:outlineLvl w:val="0"/>
        <w:rPr>
          <w:i/>
          <w:sz w:val="22"/>
          <w:szCs w:val="22"/>
          <w:lang w:val="uk-UA"/>
        </w:rPr>
      </w:pPr>
      <w:r w:rsidRPr="00B85410">
        <w:rPr>
          <w:i/>
          <w:sz w:val="22"/>
          <w:szCs w:val="22"/>
          <w:lang w:val="uk-UA"/>
        </w:rPr>
        <w:t>Прізвище автора, адреса, електронна адреса</w:t>
      </w:r>
      <w:r w:rsidRPr="005F331D">
        <w:rPr>
          <w:i/>
          <w:sz w:val="22"/>
          <w:szCs w:val="22"/>
          <w:lang w:val="uk-UA"/>
        </w:rPr>
        <w:t xml:space="preserve"> (зберігається актуальна інформація)</w:t>
      </w:r>
    </w:p>
    <w:p w:rsidR="00C317EB" w:rsidRPr="005F331D" w:rsidRDefault="00C317EB" w:rsidP="00C317EB">
      <w:pPr>
        <w:jc w:val="both"/>
        <w:outlineLvl w:val="0"/>
        <w:rPr>
          <w:b/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outlineLvl w:val="0"/>
        <w:rPr>
          <w:i/>
          <w:sz w:val="22"/>
          <w:szCs w:val="22"/>
          <w:lang w:val="uk-UA"/>
        </w:rPr>
      </w:pPr>
      <w:r w:rsidRPr="005F331D">
        <w:rPr>
          <w:i/>
          <w:sz w:val="22"/>
          <w:szCs w:val="22"/>
          <w:lang w:val="uk-UA"/>
        </w:rPr>
        <w:t>Інна Осипова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uk-UA"/>
        </w:rPr>
      </w:pPr>
      <w:r w:rsidRPr="005F331D">
        <w:rPr>
          <w:i/>
          <w:sz w:val="22"/>
          <w:szCs w:val="22"/>
          <w:lang w:val="uk-UA"/>
        </w:rPr>
        <w:t>ДССУ</w:t>
      </w:r>
    </w:p>
    <w:p w:rsidR="00C317EB" w:rsidRPr="00B85410" w:rsidRDefault="00C317EB" w:rsidP="00C317EB">
      <w:pPr>
        <w:jc w:val="both"/>
        <w:rPr>
          <w:i/>
          <w:sz w:val="22"/>
          <w:szCs w:val="22"/>
          <w:lang w:val="uk-UA"/>
        </w:rPr>
      </w:pPr>
      <w:r w:rsidRPr="00B85410">
        <w:rPr>
          <w:i/>
          <w:sz w:val="22"/>
          <w:szCs w:val="22"/>
          <w:lang w:val="uk-UA"/>
        </w:rPr>
        <w:t xml:space="preserve">3, </w:t>
      </w:r>
      <w:proofErr w:type="spellStart"/>
      <w:r w:rsidRPr="00B85410">
        <w:rPr>
          <w:i/>
          <w:sz w:val="22"/>
          <w:szCs w:val="22"/>
          <w:lang w:val="uk-UA"/>
        </w:rPr>
        <w:t>вул.Шота</w:t>
      </w:r>
      <w:proofErr w:type="spellEnd"/>
      <w:r w:rsidRPr="00B85410">
        <w:rPr>
          <w:i/>
          <w:sz w:val="22"/>
          <w:szCs w:val="22"/>
          <w:lang w:val="uk-UA"/>
        </w:rPr>
        <w:t xml:space="preserve"> Руставелі, 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Київ-23, 01601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Україна</w:t>
      </w:r>
    </w:p>
    <w:p w:rsidR="00C317EB" w:rsidRPr="005F331D" w:rsidRDefault="00C317EB" w:rsidP="00C317EB">
      <w:pPr>
        <w:jc w:val="both"/>
        <w:outlineLvl w:val="0"/>
        <w:rPr>
          <w:i/>
          <w:sz w:val="22"/>
          <w:szCs w:val="22"/>
          <w:lang w:val="da-DK"/>
        </w:rPr>
      </w:pPr>
      <w:bookmarkStart w:id="1" w:name="_Toc373744025"/>
      <w:proofErr w:type="spellStart"/>
      <w:r w:rsidRPr="005F331D">
        <w:rPr>
          <w:i/>
          <w:sz w:val="22"/>
          <w:szCs w:val="22"/>
          <w:lang w:val="uk-UA"/>
        </w:rPr>
        <w:t>Тел</w:t>
      </w:r>
      <w:proofErr w:type="spellEnd"/>
      <w:r w:rsidRPr="005F331D">
        <w:rPr>
          <w:i/>
          <w:sz w:val="22"/>
          <w:szCs w:val="22"/>
          <w:lang w:val="da-DK"/>
        </w:rPr>
        <w:t>: +3</w:t>
      </w:r>
      <w:r w:rsidRPr="005F331D">
        <w:rPr>
          <w:i/>
          <w:sz w:val="22"/>
          <w:szCs w:val="22"/>
          <w:lang w:val="uk-UA"/>
        </w:rPr>
        <w:t>80</w:t>
      </w:r>
      <w:r w:rsidRPr="005F331D">
        <w:rPr>
          <w:i/>
          <w:sz w:val="22"/>
          <w:szCs w:val="22"/>
          <w:lang w:val="da-DK"/>
        </w:rPr>
        <w:t xml:space="preserve"> </w:t>
      </w:r>
      <w:r w:rsidRPr="005F331D">
        <w:rPr>
          <w:i/>
          <w:sz w:val="22"/>
          <w:szCs w:val="22"/>
          <w:lang w:val="uk-UA"/>
        </w:rPr>
        <w:t>44 2340134</w:t>
      </w:r>
      <w:bookmarkEnd w:id="1"/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proofErr w:type="spellStart"/>
      <w:r w:rsidRPr="005F331D">
        <w:rPr>
          <w:i/>
          <w:sz w:val="22"/>
          <w:szCs w:val="22"/>
          <w:lang w:val="uk-UA"/>
        </w:rPr>
        <w:t>Ел.адреса</w:t>
      </w:r>
      <w:proofErr w:type="spellEnd"/>
      <w:r w:rsidRPr="005F331D">
        <w:rPr>
          <w:i/>
          <w:sz w:val="22"/>
          <w:szCs w:val="22"/>
          <w:lang w:val="da-DK"/>
        </w:rPr>
        <w:t xml:space="preserve">: </w:t>
      </w:r>
      <w:r w:rsidRPr="005F331D">
        <w:rPr>
          <w:i/>
          <w:sz w:val="22"/>
          <w:szCs w:val="22"/>
          <w:lang w:val="en-US"/>
        </w:rPr>
        <w:t>I</w:t>
      </w:r>
      <w:r w:rsidRPr="005F331D">
        <w:rPr>
          <w:i/>
          <w:sz w:val="22"/>
          <w:szCs w:val="22"/>
          <w:lang w:val="ru-RU"/>
        </w:rPr>
        <w:t>.</w:t>
      </w:r>
      <w:proofErr w:type="spellStart"/>
      <w:r w:rsidRPr="00B85410">
        <w:rPr>
          <w:i/>
          <w:sz w:val="22"/>
          <w:szCs w:val="22"/>
          <w:lang w:val="en-US"/>
        </w:rPr>
        <w:t>Osipova</w:t>
      </w:r>
      <w:proofErr w:type="spellEnd"/>
      <w:r w:rsidRPr="005F331D">
        <w:rPr>
          <w:i/>
          <w:sz w:val="22"/>
          <w:szCs w:val="22"/>
          <w:lang w:val="da-DK"/>
        </w:rPr>
        <w:t>@ukrstat.gov.ua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</w:p>
    <w:p w:rsidR="00C317EB" w:rsidRPr="00B85410" w:rsidRDefault="00C317EB" w:rsidP="00C317EB">
      <w:pPr>
        <w:jc w:val="both"/>
        <w:outlineLvl w:val="0"/>
        <w:rPr>
          <w:b/>
          <w:sz w:val="22"/>
          <w:szCs w:val="22"/>
          <w:lang w:val="da-DK"/>
        </w:rPr>
      </w:pPr>
    </w:p>
    <w:p w:rsidR="00C317EB" w:rsidRPr="005F331D" w:rsidRDefault="00C317EB" w:rsidP="00C317EB">
      <w:pPr>
        <w:jc w:val="both"/>
        <w:outlineLvl w:val="0"/>
        <w:rPr>
          <w:i/>
          <w:sz w:val="22"/>
          <w:szCs w:val="22"/>
          <w:lang w:val="da-DK"/>
        </w:rPr>
      </w:pPr>
      <w:bookmarkStart w:id="2" w:name="_Toc373744026"/>
      <w:r w:rsidRPr="005F331D">
        <w:rPr>
          <w:i/>
          <w:sz w:val="22"/>
          <w:szCs w:val="22"/>
          <w:lang w:val="da-DK"/>
        </w:rPr>
        <w:t xml:space="preserve">Ксенія Пліско </w:t>
      </w:r>
      <w:bookmarkEnd w:id="2"/>
    </w:p>
    <w:p w:rsidR="00C317EB" w:rsidRPr="005F331D" w:rsidRDefault="00C317EB" w:rsidP="00C317EB">
      <w:pPr>
        <w:jc w:val="both"/>
        <w:rPr>
          <w:i/>
          <w:sz w:val="22"/>
          <w:szCs w:val="22"/>
          <w:lang w:val="uk-UA"/>
        </w:rPr>
      </w:pPr>
      <w:r w:rsidRPr="005F331D">
        <w:rPr>
          <w:i/>
          <w:sz w:val="22"/>
          <w:szCs w:val="22"/>
          <w:lang w:val="uk-UA"/>
        </w:rPr>
        <w:t>ДССУ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uk-UA"/>
        </w:rPr>
      </w:pPr>
      <w:r w:rsidRPr="005F331D">
        <w:rPr>
          <w:i/>
          <w:sz w:val="22"/>
          <w:szCs w:val="22"/>
          <w:lang w:val="uk-UA"/>
        </w:rPr>
        <w:t xml:space="preserve">3, </w:t>
      </w:r>
      <w:proofErr w:type="spellStart"/>
      <w:r w:rsidRPr="005F331D">
        <w:rPr>
          <w:i/>
          <w:sz w:val="22"/>
          <w:szCs w:val="22"/>
          <w:lang w:val="uk-UA"/>
        </w:rPr>
        <w:t>вул.Шота</w:t>
      </w:r>
      <w:proofErr w:type="spellEnd"/>
      <w:r w:rsidRPr="005F331D">
        <w:rPr>
          <w:i/>
          <w:sz w:val="22"/>
          <w:szCs w:val="22"/>
          <w:lang w:val="uk-UA"/>
        </w:rPr>
        <w:t xml:space="preserve"> Руставелі, 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Київ-23, 01601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Україна</w:t>
      </w:r>
    </w:p>
    <w:p w:rsidR="00C317EB" w:rsidRPr="005F331D" w:rsidRDefault="00C317EB" w:rsidP="00C317EB">
      <w:pPr>
        <w:jc w:val="both"/>
        <w:outlineLvl w:val="0"/>
        <w:rPr>
          <w:i/>
          <w:sz w:val="22"/>
          <w:szCs w:val="22"/>
          <w:lang w:val="da-DK"/>
        </w:rPr>
      </w:pPr>
      <w:proofErr w:type="spellStart"/>
      <w:r w:rsidRPr="005F331D">
        <w:rPr>
          <w:i/>
          <w:sz w:val="22"/>
          <w:szCs w:val="22"/>
          <w:lang w:val="uk-UA"/>
        </w:rPr>
        <w:t>Тел</w:t>
      </w:r>
      <w:proofErr w:type="spellEnd"/>
      <w:r w:rsidRPr="005F331D">
        <w:rPr>
          <w:i/>
          <w:sz w:val="22"/>
          <w:szCs w:val="22"/>
          <w:lang w:val="da-DK"/>
        </w:rPr>
        <w:t>: +3</w:t>
      </w:r>
      <w:r w:rsidRPr="005F331D">
        <w:rPr>
          <w:i/>
          <w:sz w:val="22"/>
          <w:szCs w:val="22"/>
          <w:lang w:val="uk-UA"/>
        </w:rPr>
        <w:t>80</w:t>
      </w:r>
      <w:r w:rsidRPr="005F331D">
        <w:rPr>
          <w:i/>
          <w:sz w:val="22"/>
          <w:szCs w:val="22"/>
          <w:lang w:val="da-DK"/>
        </w:rPr>
        <w:t xml:space="preserve"> </w:t>
      </w:r>
      <w:r w:rsidRPr="005F331D">
        <w:rPr>
          <w:i/>
          <w:sz w:val="22"/>
          <w:szCs w:val="22"/>
          <w:lang w:val="uk-UA"/>
        </w:rPr>
        <w:t>44 2343213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proofErr w:type="spellStart"/>
      <w:r w:rsidRPr="005F331D">
        <w:rPr>
          <w:i/>
          <w:sz w:val="22"/>
          <w:szCs w:val="22"/>
          <w:lang w:val="uk-UA"/>
        </w:rPr>
        <w:t>Ел.адреса</w:t>
      </w:r>
      <w:proofErr w:type="spellEnd"/>
      <w:r w:rsidRPr="005F331D">
        <w:rPr>
          <w:i/>
          <w:sz w:val="22"/>
          <w:szCs w:val="22"/>
          <w:lang w:val="da-DK"/>
        </w:rPr>
        <w:t xml:space="preserve">: </w:t>
      </w:r>
      <w:proofErr w:type="spellStart"/>
      <w:r w:rsidRPr="005F331D">
        <w:rPr>
          <w:i/>
          <w:sz w:val="22"/>
          <w:szCs w:val="22"/>
          <w:lang w:val="uk-UA"/>
        </w:rPr>
        <w:t>K.Plisko</w:t>
      </w:r>
      <w:proofErr w:type="spellEnd"/>
      <w:r w:rsidRPr="005F331D">
        <w:rPr>
          <w:i/>
          <w:sz w:val="22"/>
          <w:szCs w:val="22"/>
          <w:lang w:val="da-DK"/>
        </w:rPr>
        <w:t>@ukrstat.gov.ua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  <w:r w:rsidRPr="005F331D">
        <w:rPr>
          <w:i/>
          <w:sz w:val="22"/>
          <w:szCs w:val="22"/>
          <w:lang w:val="ru-RU"/>
        </w:rPr>
        <w:t>Марина Новиченко</w:t>
      </w:r>
    </w:p>
    <w:p w:rsidR="00C317EB" w:rsidRPr="00B85410" w:rsidRDefault="00C317EB" w:rsidP="00C317EB">
      <w:pPr>
        <w:jc w:val="both"/>
        <w:rPr>
          <w:i/>
          <w:sz w:val="22"/>
          <w:szCs w:val="22"/>
          <w:lang w:val="uk-UA"/>
        </w:rPr>
      </w:pPr>
      <w:r w:rsidRPr="00B85410">
        <w:rPr>
          <w:i/>
          <w:sz w:val="22"/>
          <w:szCs w:val="22"/>
          <w:lang w:val="uk-UA"/>
        </w:rPr>
        <w:t>ДССУ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uk-UA"/>
        </w:rPr>
      </w:pPr>
      <w:r w:rsidRPr="005F331D">
        <w:rPr>
          <w:i/>
          <w:sz w:val="22"/>
          <w:szCs w:val="22"/>
          <w:lang w:val="uk-UA"/>
        </w:rPr>
        <w:t xml:space="preserve">3, </w:t>
      </w:r>
      <w:proofErr w:type="spellStart"/>
      <w:r w:rsidRPr="005F331D">
        <w:rPr>
          <w:i/>
          <w:sz w:val="22"/>
          <w:szCs w:val="22"/>
          <w:lang w:val="uk-UA"/>
        </w:rPr>
        <w:t>вул.Шота</w:t>
      </w:r>
      <w:proofErr w:type="spellEnd"/>
      <w:r w:rsidRPr="005F331D">
        <w:rPr>
          <w:i/>
          <w:sz w:val="22"/>
          <w:szCs w:val="22"/>
          <w:lang w:val="uk-UA"/>
        </w:rPr>
        <w:t xml:space="preserve"> Руставелі, 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Київ-23, 01601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Україна</w:t>
      </w:r>
    </w:p>
    <w:p w:rsidR="00C317EB" w:rsidRPr="005F331D" w:rsidRDefault="00C317EB" w:rsidP="00C317EB">
      <w:pPr>
        <w:jc w:val="both"/>
        <w:outlineLvl w:val="0"/>
        <w:rPr>
          <w:i/>
          <w:sz w:val="22"/>
          <w:szCs w:val="22"/>
          <w:lang w:val="da-DK"/>
        </w:rPr>
      </w:pPr>
      <w:proofErr w:type="spellStart"/>
      <w:r w:rsidRPr="005F331D">
        <w:rPr>
          <w:i/>
          <w:sz w:val="22"/>
          <w:szCs w:val="22"/>
          <w:lang w:val="uk-UA"/>
        </w:rPr>
        <w:t>Тел</w:t>
      </w:r>
      <w:proofErr w:type="spellEnd"/>
      <w:r w:rsidRPr="005F331D">
        <w:rPr>
          <w:i/>
          <w:sz w:val="22"/>
          <w:szCs w:val="22"/>
          <w:lang w:val="da-DK"/>
        </w:rPr>
        <w:t>: +3</w:t>
      </w:r>
      <w:r w:rsidRPr="005F331D">
        <w:rPr>
          <w:i/>
          <w:sz w:val="22"/>
          <w:szCs w:val="22"/>
          <w:lang w:val="uk-UA"/>
        </w:rPr>
        <w:t>80</w:t>
      </w:r>
      <w:r w:rsidRPr="005F331D">
        <w:rPr>
          <w:i/>
          <w:sz w:val="22"/>
          <w:szCs w:val="22"/>
          <w:lang w:val="da-DK"/>
        </w:rPr>
        <w:t xml:space="preserve"> </w:t>
      </w:r>
      <w:r w:rsidRPr="005F331D">
        <w:rPr>
          <w:i/>
          <w:sz w:val="22"/>
          <w:szCs w:val="22"/>
          <w:lang w:val="uk-UA"/>
        </w:rPr>
        <w:t>44 2871211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proofErr w:type="spellStart"/>
      <w:r w:rsidRPr="005F331D">
        <w:rPr>
          <w:i/>
          <w:sz w:val="22"/>
          <w:szCs w:val="22"/>
          <w:lang w:val="uk-UA"/>
        </w:rPr>
        <w:t>Ел.адреса</w:t>
      </w:r>
      <w:proofErr w:type="spellEnd"/>
      <w:r w:rsidRPr="005F331D">
        <w:rPr>
          <w:i/>
          <w:sz w:val="22"/>
          <w:szCs w:val="22"/>
          <w:lang w:val="da-DK"/>
        </w:rPr>
        <w:t xml:space="preserve">: </w:t>
      </w:r>
      <w:r w:rsidRPr="005F331D">
        <w:rPr>
          <w:i/>
          <w:sz w:val="22"/>
          <w:szCs w:val="22"/>
          <w:lang w:val="en-US"/>
        </w:rPr>
        <w:t>households</w:t>
      </w:r>
      <w:r w:rsidRPr="005F331D">
        <w:rPr>
          <w:i/>
          <w:sz w:val="22"/>
          <w:szCs w:val="22"/>
          <w:lang w:val="da-DK"/>
        </w:rPr>
        <w:t>@ukrstat.gov.ua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uk-UA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uk-UA"/>
        </w:rPr>
      </w:pPr>
      <w:r w:rsidRPr="00B85410">
        <w:rPr>
          <w:i/>
          <w:sz w:val="22"/>
          <w:szCs w:val="22"/>
          <w:lang w:val="uk-UA"/>
        </w:rPr>
        <w:t xml:space="preserve">Оксана </w:t>
      </w:r>
      <w:proofErr w:type="spellStart"/>
      <w:r w:rsidRPr="00B85410">
        <w:rPr>
          <w:i/>
          <w:sz w:val="22"/>
          <w:szCs w:val="22"/>
          <w:lang w:val="uk-UA"/>
        </w:rPr>
        <w:t>Ямпольська</w:t>
      </w:r>
      <w:proofErr w:type="spellEnd"/>
    </w:p>
    <w:p w:rsidR="00C317EB" w:rsidRPr="00B85410" w:rsidRDefault="00C317EB" w:rsidP="00C317EB">
      <w:pPr>
        <w:jc w:val="both"/>
        <w:rPr>
          <w:i/>
          <w:sz w:val="22"/>
          <w:szCs w:val="22"/>
          <w:lang w:val="uk-UA"/>
        </w:rPr>
      </w:pPr>
      <w:r w:rsidRPr="00B85410">
        <w:rPr>
          <w:i/>
          <w:sz w:val="22"/>
          <w:szCs w:val="22"/>
          <w:lang w:val="uk-UA"/>
        </w:rPr>
        <w:t>ДССУ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uk-UA"/>
        </w:rPr>
      </w:pPr>
      <w:r w:rsidRPr="005F331D">
        <w:rPr>
          <w:i/>
          <w:sz w:val="22"/>
          <w:szCs w:val="22"/>
          <w:lang w:val="uk-UA"/>
        </w:rPr>
        <w:t xml:space="preserve">3, </w:t>
      </w:r>
      <w:proofErr w:type="spellStart"/>
      <w:r w:rsidRPr="005F331D">
        <w:rPr>
          <w:i/>
          <w:sz w:val="22"/>
          <w:szCs w:val="22"/>
          <w:lang w:val="uk-UA"/>
        </w:rPr>
        <w:t>вул.Шота</w:t>
      </w:r>
      <w:proofErr w:type="spellEnd"/>
      <w:r w:rsidRPr="005F331D">
        <w:rPr>
          <w:i/>
          <w:sz w:val="22"/>
          <w:szCs w:val="22"/>
          <w:lang w:val="uk-UA"/>
        </w:rPr>
        <w:t xml:space="preserve"> Руставелі, 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Київ-23, 01601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r w:rsidRPr="005F331D">
        <w:rPr>
          <w:i/>
          <w:sz w:val="22"/>
          <w:szCs w:val="22"/>
          <w:lang w:val="uk-UA"/>
        </w:rPr>
        <w:t>Україна</w:t>
      </w:r>
    </w:p>
    <w:p w:rsidR="00C317EB" w:rsidRPr="005F331D" w:rsidRDefault="00C317EB" w:rsidP="00C317EB">
      <w:pPr>
        <w:jc w:val="both"/>
        <w:outlineLvl w:val="0"/>
        <w:rPr>
          <w:i/>
          <w:sz w:val="22"/>
          <w:szCs w:val="22"/>
          <w:lang w:val="da-DK"/>
        </w:rPr>
      </w:pPr>
      <w:proofErr w:type="spellStart"/>
      <w:r w:rsidRPr="005F331D">
        <w:rPr>
          <w:i/>
          <w:sz w:val="22"/>
          <w:szCs w:val="22"/>
          <w:lang w:val="uk-UA"/>
        </w:rPr>
        <w:t>Тел</w:t>
      </w:r>
      <w:proofErr w:type="spellEnd"/>
      <w:r w:rsidRPr="005F331D">
        <w:rPr>
          <w:i/>
          <w:sz w:val="22"/>
          <w:szCs w:val="22"/>
          <w:lang w:val="da-DK"/>
        </w:rPr>
        <w:t>: +3</w:t>
      </w:r>
      <w:r w:rsidRPr="005F331D">
        <w:rPr>
          <w:i/>
          <w:sz w:val="22"/>
          <w:szCs w:val="22"/>
          <w:lang w:val="uk-UA"/>
        </w:rPr>
        <w:t>80</w:t>
      </w:r>
      <w:r w:rsidRPr="005F331D">
        <w:rPr>
          <w:i/>
          <w:sz w:val="22"/>
          <w:szCs w:val="22"/>
          <w:lang w:val="da-DK"/>
        </w:rPr>
        <w:t xml:space="preserve"> </w:t>
      </w:r>
      <w:r w:rsidRPr="005F331D">
        <w:rPr>
          <w:i/>
          <w:sz w:val="22"/>
          <w:szCs w:val="22"/>
          <w:lang w:val="uk-UA"/>
        </w:rPr>
        <w:t>44 2871211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da-DK"/>
        </w:rPr>
      </w:pPr>
      <w:proofErr w:type="spellStart"/>
      <w:r w:rsidRPr="005F331D">
        <w:rPr>
          <w:i/>
          <w:sz w:val="22"/>
          <w:szCs w:val="22"/>
          <w:lang w:val="uk-UA"/>
        </w:rPr>
        <w:t>Ел.адреса</w:t>
      </w:r>
      <w:proofErr w:type="spellEnd"/>
      <w:r w:rsidRPr="005F331D">
        <w:rPr>
          <w:i/>
          <w:sz w:val="22"/>
          <w:szCs w:val="22"/>
          <w:lang w:val="da-DK"/>
        </w:rPr>
        <w:t xml:space="preserve">: </w:t>
      </w:r>
      <w:r w:rsidRPr="005F331D">
        <w:rPr>
          <w:i/>
          <w:sz w:val="22"/>
          <w:szCs w:val="22"/>
          <w:lang w:val="en-US"/>
        </w:rPr>
        <w:t>households</w:t>
      </w:r>
      <w:r w:rsidRPr="005F331D">
        <w:rPr>
          <w:i/>
          <w:sz w:val="22"/>
          <w:szCs w:val="22"/>
          <w:lang w:val="da-DK"/>
        </w:rPr>
        <w:t>@ukrstat.gov.ua</w:t>
      </w: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rPr>
          <w:i/>
          <w:sz w:val="22"/>
          <w:szCs w:val="22"/>
          <w:lang w:val="ru-RU"/>
        </w:rPr>
      </w:pPr>
    </w:p>
    <w:p w:rsidR="00C317EB" w:rsidRPr="005F331D" w:rsidRDefault="00C317EB" w:rsidP="00C317EB">
      <w:pPr>
        <w:jc w:val="both"/>
        <w:outlineLvl w:val="0"/>
        <w:rPr>
          <w:b/>
          <w:lang w:val="uk-UA"/>
        </w:rPr>
      </w:pPr>
      <w:r w:rsidRPr="005F331D">
        <w:rPr>
          <w:b/>
          <w:lang w:val="uk-UA"/>
        </w:rPr>
        <w:lastRenderedPageBreak/>
        <w:t>Зміст</w:t>
      </w:r>
    </w:p>
    <w:p w:rsidR="00C317EB" w:rsidRPr="005F331D" w:rsidRDefault="00C317EB" w:rsidP="00C317EB">
      <w:pPr>
        <w:jc w:val="both"/>
        <w:rPr>
          <w:sz w:val="22"/>
          <w:lang w:val="en-GB"/>
        </w:rPr>
      </w:pPr>
    </w:p>
    <w:p w:rsidR="00C317EB" w:rsidRPr="005F331D" w:rsidRDefault="00C317EB" w:rsidP="00C317EB">
      <w:pPr>
        <w:pStyle w:val="11"/>
        <w:tabs>
          <w:tab w:val="right" w:leader="dot" w:pos="9062"/>
        </w:tabs>
        <w:rPr>
          <w:noProof/>
          <w:sz w:val="22"/>
          <w:szCs w:val="22"/>
          <w:lang w:val="lt-LT" w:eastAsia="lt-LT"/>
        </w:rPr>
      </w:pPr>
      <w:r w:rsidRPr="005F331D">
        <w:rPr>
          <w:szCs w:val="22"/>
          <w:lang w:val="en-GB"/>
        </w:rPr>
        <w:fldChar w:fldCharType="begin"/>
      </w:r>
      <w:r w:rsidRPr="005F331D">
        <w:rPr>
          <w:szCs w:val="22"/>
          <w:lang w:val="en-GB"/>
        </w:rPr>
        <w:instrText xml:space="preserve"> TOC \o "1-2" \h \z \u </w:instrText>
      </w:r>
      <w:r w:rsidRPr="005F331D">
        <w:rPr>
          <w:szCs w:val="22"/>
          <w:lang w:val="en-GB"/>
        </w:rPr>
        <w:fldChar w:fldCharType="separate"/>
      </w:r>
      <w:hyperlink w:anchor="_Toc373744031" w:history="1">
        <w:r w:rsidRPr="005F331D">
          <w:rPr>
            <w:rStyle w:val="a5"/>
            <w:noProof/>
          </w:rPr>
          <w:t xml:space="preserve">1. </w:t>
        </w:r>
        <w:r w:rsidRPr="005F331D">
          <w:rPr>
            <w:rStyle w:val="a5"/>
            <w:noProof/>
            <w:lang w:val="uk-UA"/>
          </w:rPr>
          <w:t>Загальна частина</w:t>
        </w:r>
        <w:r w:rsidRPr="005F331D">
          <w:rPr>
            <w:noProof/>
            <w:webHidden/>
          </w:rPr>
          <w:tab/>
        </w:r>
        <w:r w:rsidRPr="005F331D">
          <w:rPr>
            <w:noProof/>
            <w:webHidden/>
          </w:rPr>
          <w:fldChar w:fldCharType="begin"/>
        </w:r>
        <w:r w:rsidRPr="005F331D">
          <w:rPr>
            <w:noProof/>
            <w:webHidden/>
          </w:rPr>
          <w:instrText xml:space="preserve"> PAGEREF _Toc373744031 \h </w:instrText>
        </w:r>
        <w:r w:rsidRPr="005F331D">
          <w:rPr>
            <w:noProof/>
            <w:webHidden/>
          </w:rPr>
        </w:r>
        <w:r w:rsidRPr="005F331D">
          <w:rPr>
            <w:noProof/>
            <w:webHidden/>
          </w:rPr>
          <w:fldChar w:fldCharType="separate"/>
        </w:r>
        <w:r w:rsidRPr="005F331D">
          <w:rPr>
            <w:noProof/>
            <w:webHidden/>
          </w:rPr>
          <w:t>4</w:t>
        </w:r>
        <w:r w:rsidRPr="005F331D">
          <w:rPr>
            <w:noProof/>
            <w:webHidden/>
          </w:rPr>
          <w:fldChar w:fldCharType="end"/>
        </w:r>
      </w:hyperlink>
    </w:p>
    <w:p w:rsidR="00C317EB" w:rsidRPr="005F331D" w:rsidRDefault="00C317EB" w:rsidP="00C317EB">
      <w:pPr>
        <w:pStyle w:val="11"/>
        <w:tabs>
          <w:tab w:val="right" w:leader="dot" w:pos="9062"/>
        </w:tabs>
        <w:rPr>
          <w:noProof/>
          <w:sz w:val="22"/>
          <w:szCs w:val="22"/>
          <w:lang w:val="lt-LT" w:eastAsia="lt-LT"/>
        </w:rPr>
      </w:pPr>
      <w:hyperlink w:anchor="_Toc373744032" w:history="1">
        <w:r w:rsidRPr="005F331D">
          <w:rPr>
            <w:rStyle w:val="a5"/>
            <w:noProof/>
          </w:rPr>
          <w:t xml:space="preserve">2. </w:t>
        </w:r>
        <w:r w:rsidRPr="005F331D">
          <w:rPr>
            <w:rStyle w:val="a5"/>
            <w:noProof/>
            <w:lang w:val="uk-UA"/>
          </w:rPr>
          <w:t>Оцінка та результати</w:t>
        </w:r>
        <w:r w:rsidRPr="005F331D">
          <w:rPr>
            <w:noProof/>
            <w:webHidden/>
          </w:rPr>
          <w:tab/>
        </w:r>
        <w:r w:rsidRPr="005F331D">
          <w:rPr>
            <w:noProof/>
            <w:webHidden/>
          </w:rPr>
          <w:fldChar w:fldCharType="begin"/>
        </w:r>
        <w:r w:rsidRPr="005F331D">
          <w:rPr>
            <w:noProof/>
            <w:webHidden/>
          </w:rPr>
          <w:instrText xml:space="preserve"> PAGEREF _Toc373744032 \h </w:instrText>
        </w:r>
        <w:r w:rsidRPr="005F331D">
          <w:rPr>
            <w:noProof/>
            <w:webHidden/>
          </w:rPr>
        </w:r>
        <w:r w:rsidRPr="005F331D">
          <w:rPr>
            <w:noProof/>
            <w:webHidden/>
          </w:rPr>
          <w:fldChar w:fldCharType="separate"/>
        </w:r>
        <w:r w:rsidRPr="005F331D">
          <w:rPr>
            <w:noProof/>
            <w:webHidden/>
          </w:rPr>
          <w:t>4</w:t>
        </w:r>
        <w:r w:rsidRPr="005F331D">
          <w:rPr>
            <w:noProof/>
            <w:webHidden/>
          </w:rPr>
          <w:fldChar w:fldCharType="end"/>
        </w:r>
      </w:hyperlink>
    </w:p>
    <w:p w:rsidR="00C317EB" w:rsidRPr="005F331D" w:rsidRDefault="00C317EB" w:rsidP="00C317EB">
      <w:pPr>
        <w:pStyle w:val="2"/>
        <w:rPr>
          <w:sz w:val="22"/>
          <w:szCs w:val="22"/>
          <w:lang w:val="lt-LT" w:eastAsia="lt-LT"/>
        </w:rPr>
      </w:pPr>
      <w:hyperlink w:anchor="_Toc373744033" w:history="1">
        <w:r w:rsidRPr="005F331D">
          <w:rPr>
            <w:rStyle w:val="a5"/>
          </w:rPr>
          <w:t>2.1.</w:t>
        </w:r>
        <w:r w:rsidRPr="005F331D">
          <w:rPr>
            <w:lang w:val="uk-UA"/>
          </w:rPr>
          <w:t xml:space="preserve"> Статистична система Литовської Республіки</w:t>
        </w:r>
        <w:r w:rsidRPr="005F331D">
          <w:rPr>
            <w:webHidden/>
          </w:rPr>
          <w:tab/>
        </w:r>
        <w:r w:rsidRPr="005F331D">
          <w:rPr>
            <w:webHidden/>
          </w:rPr>
          <w:fldChar w:fldCharType="begin"/>
        </w:r>
        <w:r w:rsidRPr="005F331D">
          <w:rPr>
            <w:webHidden/>
          </w:rPr>
          <w:instrText xml:space="preserve"> PAGEREF _Toc373744033 \h </w:instrText>
        </w:r>
        <w:r w:rsidRPr="005F331D">
          <w:rPr>
            <w:webHidden/>
          </w:rPr>
        </w:r>
        <w:r w:rsidRPr="005F331D">
          <w:rPr>
            <w:webHidden/>
          </w:rPr>
          <w:fldChar w:fldCharType="separate"/>
        </w:r>
        <w:r w:rsidRPr="005F331D">
          <w:rPr>
            <w:webHidden/>
          </w:rPr>
          <w:t>7</w:t>
        </w:r>
        <w:r w:rsidRPr="005F331D">
          <w:rPr>
            <w:webHidden/>
          </w:rPr>
          <w:fldChar w:fldCharType="end"/>
        </w:r>
      </w:hyperlink>
    </w:p>
    <w:p w:rsidR="00C317EB" w:rsidRPr="005F331D" w:rsidRDefault="00C317EB" w:rsidP="00C317EB">
      <w:pPr>
        <w:pStyle w:val="2"/>
        <w:rPr>
          <w:rStyle w:val="a5"/>
        </w:rPr>
      </w:pPr>
      <w:hyperlink w:anchor="_Toc373744034" w:history="1">
        <w:r w:rsidRPr="005F331D">
          <w:rPr>
            <w:rStyle w:val="a5"/>
          </w:rPr>
          <w:t>2.2. Організація проведення Статистикою Литви Обстеження  доходів та умов життя в ЄС (EU-SILC) . Упровадження методики CAPI (проведення персонального інтерв’ю з використанням комп’ютерів) для збору даних.</w:t>
        </w:r>
        <w:r w:rsidRPr="005F331D">
          <w:rPr>
            <w:rStyle w:val="a5"/>
            <w:webHidden/>
          </w:rPr>
          <w:tab/>
        </w:r>
        <w:r w:rsidRPr="005F331D">
          <w:rPr>
            <w:rStyle w:val="a5"/>
            <w:webHidden/>
          </w:rPr>
          <w:fldChar w:fldCharType="begin"/>
        </w:r>
        <w:r w:rsidRPr="005F331D">
          <w:rPr>
            <w:rStyle w:val="a5"/>
            <w:webHidden/>
          </w:rPr>
          <w:instrText xml:space="preserve"> PAGEREF _Toc373744034 \h </w:instrText>
        </w:r>
        <w:r w:rsidRPr="005F331D">
          <w:rPr>
            <w:rStyle w:val="a5"/>
            <w:webHidden/>
          </w:rPr>
        </w:r>
        <w:r w:rsidRPr="005F331D">
          <w:rPr>
            <w:rStyle w:val="a5"/>
            <w:webHidden/>
          </w:rPr>
          <w:fldChar w:fldCharType="separate"/>
        </w:r>
        <w:r w:rsidRPr="005F331D">
          <w:rPr>
            <w:rStyle w:val="a5"/>
            <w:webHidden/>
          </w:rPr>
          <w:t>7</w:t>
        </w:r>
        <w:r w:rsidRPr="005F331D">
          <w:rPr>
            <w:rStyle w:val="a5"/>
            <w:webHidden/>
          </w:rPr>
          <w:fldChar w:fldCharType="end"/>
        </w:r>
      </w:hyperlink>
    </w:p>
    <w:p w:rsidR="00C317EB" w:rsidRPr="005F331D" w:rsidRDefault="00C317EB" w:rsidP="00C317EB">
      <w:pPr>
        <w:pStyle w:val="2"/>
        <w:rPr>
          <w:sz w:val="22"/>
          <w:szCs w:val="22"/>
          <w:lang w:val="lt-LT" w:eastAsia="lt-LT"/>
        </w:rPr>
      </w:pPr>
      <w:hyperlink w:anchor="_Toc373744035" w:history="1">
        <w:r w:rsidRPr="005F331D">
          <w:rPr>
            <w:rStyle w:val="a5"/>
            <w:lang w:val="pl-PL"/>
          </w:rPr>
          <w:t xml:space="preserve">2.3. Індикатор доходу домогосподарств та його компоненти </w:t>
        </w:r>
        <w:r w:rsidRPr="005F331D">
          <w:rPr>
            <w:rStyle w:val="a5"/>
            <w:lang w:val="uk-UA"/>
          </w:rPr>
          <w:t>в</w:t>
        </w:r>
        <w:r w:rsidRPr="005F331D">
          <w:rPr>
            <w:rStyle w:val="a5"/>
            <w:lang w:val="pl-PL"/>
          </w:rPr>
          <w:t xml:space="preserve"> </w:t>
        </w:r>
        <w:r w:rsidRPr="005F331D">
          <w:rPr>
            <w:rStyle w:val="a5"/>
            <w:lang w:val="uk-UA"/>
          </w:rPr>
          <w:t xml:space="preserve"> О</w:t>
        </w:r>
        <w:r w:rsidRPr="005F331D">
          <w:rPr>
            <w:rStyle w:val="a5"/>
            <w:lang w:val="pl-PL"/>
          </w:rPr>
          <w:t>бстеженні  доходів та умов життя в ЄС (EU-SILC)</w:t>
        </w:r>
        <w:r w:rsidRPr="005F331D">
          <w:rPr>
            <w:webHidden/>
          </w:rPr>
          <w:tab/>
        </w:r>
        <w:r w:rsidRPr="005F331D">
          <w:rPr>
            <w:webHidden/>
          </w:rPr>
          <w:fldChar w:fldCharType="begin"/>
        </w:r>
        <w:r w:rsidRPr="005F331D">
          <w:rPr>
            <w:webHidden/>
          </w:rPr>
          <w:instrText xml:space="preserve"> PAGEREF _Toc373744035 \h </w:instrText>
        </w:r>
        <w:r w:rsidRPr="005F331D">
          <w:rPr>
            <w:webHidden/>
          </w:rPr>
        </w:r>
        <w:r w:rsidRPr="005F331D">
          <w:rPr>
            <w:webHidden/>
          </w:rPr>
          <w:fldChar w:fldCharType="separate"/>
        </w:r>
        <w:r w:rsidRPr="005F331D">
          <w:rPr>
            <w:webHidden/>
          </w:rPr>
          <w:t>7</w:t>
        </w:r>
        <w:r w:rsidRPr="005F331D">
          <w:rPr>
            <w:webHidden/>
          </w:rPr>
          <w:fldChar w:fldCharType="end"/>
        </w:r>
      </w:hyperlink>
    </w:p>
    <w:p w:rsidR="00C317EB" w:rsidRPr="005F331D" w:rsidRDefault="00C317EB" w:rsidP="00C317EB">
      <w:pPr>
        <w:pStyle w:val="2"/>
        <w:rPr>
          <w:rStyle w:val="a5"/>
        </w:rPr>
      </w:pPr>
      <w:hyperlink w:anchor="_Toc373744036" w:history="1">
        <w:r w:rsidRPr="005F331D">
          <w:rPr>
            <w:rStyle w:val="a5"/>
          </w:rPr>
          <w:t xml:space="preserve">2.4. Обчислення імпутованої ренти, які проводить </w:t>
        </w:r>
        <w:r w:rsidRPr="005F331D">
          <w:rPr>
            <w:rStyle w:val="a5"/>
            <w:lang w:val="uk-UA"/>
          </w:rPr>
          <w:t>С</w:t>
        </w:r>
        <w:r w:rsidRPr="005F331D">
          <w:rPr>
            <w:rStyle w:val="a5"/>
          </w:rPr>
          <w:t>татисти</w:t>
        </w:r>
        <w:r w:rsidRPr="005F331D">
          <w:rPr>
            <w:rStyle w:val="a5"/>
            <w:lang w:val="uk-UA"/>
          </w:rPr>
          <w:t>ка</w:t>
        </w:r>
        <w:r w:rsidRPr="005F331D">
          <w:rPr>
            <w:rStyle w:val="a5"/>
          </w:rPr>
          <w:t xml:space="preserve"> Литви</w:t>
        </w:r>
        <w:r w:rsidRPr="005F331D">
          <w:rPr>
            <w:rStyle w:val="a5"/>
            <w:webHidden/>
          </w:rPr>
          <w:tab/>
        </w:r>
        <w:r w:rsidRPr="005F331D">
          <w:rPr>
            <w:rStyle w:val="a5"/>
            <w:webHidden/>
          </w:rPr>
          <w:fldChar w:fldCharType="begin"/>
        </w:r>
        <w:r w:rsidRPr="005F331D">
          <w:rPr>
            <w:rStyle w:val="a5"/>
            <w:webHidden/>
          </w:rPr>
          <w:instrText xml:space="preserve"> PAGEREF _Toc373744036 \h </w:instrText>
        </w:r>
        <w:r w:rsidRPr="005F331D">
          <w:rPr>
            <w:rStyle w:val="a5"/>
            <w:webHidden/>
          </w:rPr>
        </w:r>
        <w:r w:rsidRPr="005F331D">
          <w:rPr>
            <w:rStyle w:val="a5"/>
            <w:webHidden/>
          </w:rPr>
          <w:fldChar w:fldCharType="separate"/>
        </w:r>
        <w:r w:rsidRPr="005F331D">
          <w:rPr>
            <w:rStyle w:val="a5"/>
            <w:webHidden/>
          </w:rPr>
          <w:t>7</w:t>
        </w:r>
        <w:r w:rsidRPr="005F331D">
          <w:rPr>
            <w:rStyle w:val="a5"/>
            <w:webHidden/>
          </w:rPr>
          <w:fldChar w:fldCharType="end"/>
        </w:r>
      </w:hyperlink>
    </w:p>
    <w:p w:rsidR="00C317EB" w:rsidRPr="005F331D" w:rsidRDefault="00C317EB" w:rsidP="00C317EB">
      <w:pPr>
        <w:pStyle w:val="2"/>
        <w:rPr>
          <w:rStyle w:val="a5"/>
          <w:color w:val="auto"/>
          <w:u w:val="none"/>
          <w:lang w:val="uk-UA"/>
        </w:rPr>
      </w:pPr>
      <w:r w:rsidRPr="005F331D">
        <w:rPr>
          <w:rStyle w:val="a5"/>
          <w:color w:val="auto"/>
          <w:u w:val="none"/>
        </w:rPr>
        <w:t>2.5. Розрахунок індикаторів ризику бідності та соціального виключення за результатами Обстеженн</w:t>
      </w:r>
      <w:r w:rsidRPr="005F331D">
        <w:rPr>
          <w:rStyle w:val="a5"/>
          <w:color w:val="auto"/>
          <w:u w:val="none"/>
          <w:lang w:val="uk-UA"/>
        </w:rPr>
        <w:t>я</w:t>
      </w:r>
      <w:r w:rsidRPr="005F331D">
        <w:rPr>
          <w:rStyle w:val="a5"/>
          <w:color w:val="auto"/>
          <w:u w:val="none"/>
        </w:rPr>
        <w:t xml:space="preserve">  доходів та умов життя в ЄС (EU-SILC)</w:t>
      </w:r>
      <w:r w:rsidRPr="005F331D">
        <w:rPr>
          <w:rStyle w:val="a5"/>
          <w:color w:val="auto"/>
          <w:u w:val="none"/>
          <w:lang w:val="uk-UA"/>
        </w:rPr>
        <w:t>……......……….........................................6</w:t>
      </w:r>
    </w:p>
    <w:p w:rsidR="00C317EB" w:rsidRPr="005F331D" w:rsidRDefault="00C317EB" w:rsidP="00C317EB">
      <w:pPr>
        <w:pStyle w:val="11"/>
        <w:tabs>
          <w:tab w:val="right" w:leader="dot" w:pos="9062"/>
        </w:tabs>
        <w:rPr>
          <w:noProof/>
          <w:sz w:val="22"/>
          <w:szCs w:val="22"/>
          <w:lang w:val="lt-LT" w:eastAsia="lt-LT"/>
        </w:rPr>
      </w:pPr>
      <w:hyperlink w:anchor="_Toc373744037" w:history="1">
        <w:r w:rsidRPr="005F331D">
          <w:rPr>
            <w:rStyle w:val="a5"/>
            <w:noProof/>
            <w:u w:val="none"/>
          </w:rPr>
          <w:t xml:space="preserve">3. </w:t>
        </w:r>
        <w:r w:rsidRPr="005F331D">
          <w:rPr>
            <w:rStyle w:val="a5"/>
            <w:noProof/>
            <w:u w:val="none"/>
            <w:lang w:val="uk-UA"/>
          </w:rPr>
          <w:t>Висновки та пропозиції</w:t>
        </w:r>
        <w:r w:rsidRPr="005F331D">
          <w:rPr>
            <w:noProof/>
            <w:webHidden/>
          </w:rPr>
          <w:tab/>
        </w:r>
        <w:r w:rsidRPr="005F331D">
          <w:rPr>
            <w:noProof/>
            <w:webHidden/>
          </w:rPr>
          <w:fldChar w:fldCharType="begin"/>
        </w:r>
        <w:r w:rsidRPr="005F331D">
          <w:rPr>
            <w:noProof/>
            <w:webHidden/>
          </w:rPr>
          <w:instrText xml:space="preserve"> PAGEREF _Toc373744037 \h </w:instrText>
        </w:r>
        <w:r w:rsidRPr="005F331D">
          <w:rPr>
            <w:noProof/>
            <w:webHidden/>
          </w:rPr>
        </w:r>
        <w:r w:rsidRPr="005F331D">
          <w:rPr>
            <w:noProof/>
            <w:webHidden/>
          </w:rPr>
          <w:fldChar w:fldCharType="separate"/>
        </w:r>
        <w:r w:rsidRPr="005F331D">
          <w:rPr>
            <w:noProof/>
            <w:webHidden/>
          </w:rPr>
          <w:t>7</w:t>
        </w:r>
        <w:r w:rsidRPr="005F331D">
          <w:rPr>
            <w:noProof/>
            <w:webHidden/>
          </w:rPr>
          <w:fldChar w:fldCharType="end"/>
        </w:r>
      </w:hyperlink>
    </w:p>
    <w:p w:rsidR="00C317EB" w:rsidRPr="005F331D" w:rsidRDefault="00C317EB" w:rsidP="00C317EB">
      <w:pPr>
        <w:pStyle w:val="11"/>
        <w:tabs>
          <w:tab w:val="right" w:leader="dot" w:pos="9062"/>
        </w:tabs>
        <w:rPr>
          <w:noProof/>
          <w:sz w:val="22"/>
          <w:szCs w:val="22"/>
          <w:lang w:val="lt-LT" w:eastAsia="lt-LT"/>
        </w:rPr>
      </w:pPr>
      <w:hyperlink w:anchor="_Toc373744038" w:history="1">
        <w:r w:rsidRPr="005F331D">
          <w:rPr>
            <w:rStyle w:val="a5"/>
            <w:noProof/>
            <w:lang w:val="uk-UA"/>
          </w:rPr>
          <w:t>Додаток</w:t>
        </w:r>
        <w:r w:rsidRPr="005F331D">
          <w:rPr>
            <w:rStyle w:val="a5"/>
            <w:noProof/>
          </w:rPr>
          <w:t xml:space="preserve"> 1. </w:t>
        </w:r>
        <w:r w:rsidRPr="005F331D">
          <w:rPr>
            <w:rStyle w:val="a5"/>
            <w:noProof/>
            <w:lang w:val="uk-UA"/>
          </w:rPr>
          <w:t>Технічне завдання</w:t>
        </w:r>
        <w:r w:rsidRPr="005F331D">
          <w:rPr>
            <w:noProof/>
            <w:webHidden/>
          </w:rPr>
          <w:tab/>
        </w:r>
        <w:r w:rsidRPr="005F331D">
          <w:rPr>
            <w:noProof/>
            <w:webHidden/>
            <w:lang w:val="uk-UA"/>
          </w:rPr>
          <w:t>8</w:t>
        </w:r>
      </w:hyperlink>
    </w:p>
    <w:p w:rsidR="00C317EB" w:rsidRPr="005F331D" w:rsidRDefault="00C317EB" w:rsidP="00C317EB">
      <w:pPr>
        <w:pStyle w:val="11"/>
        <w:tabs>
          <w:tab w:val="right" w:leader="dot" w:pos="9062"/>
        </w:tabs>
        <w:rPr>
          <w:noProof/>
          <w:sz w:val="22"/>
          <w:szCs w:val="22"/>
          <w:lang w:val="lt-LT" w:eastAsia="lt-LT"/>
        </w:rPr>
      </w:pPr>
      <w:hyperlink w:anchor="_Toc373744038" w:history="1">
        <w:r w:rsidRPr="005F331D">
          <w:rPr>
            <w:rStyle w:val="a5"/>
            <w:noProof/>
            <w:lang w:val="uk-UA"/>
          </w:rPr>
          <w:t>Додаток</w:t>
        </w:r>
        <w:r w:rsidRPr="005F331D">
          <w:rPr>
            <w:rStyle w:val="a5"/>
            <w:noProof/>
          </w:rPr>
          <w:t xml:space="preserve"> </w:t>
        </w:r>
        <w:r w:rsidRPr="005F331D">
          <w:rPr>
            <w:rStyle w:val="a5"/>
            <w:noProof/>
            <w:lang w:val="uk-UA"/>
          </w:rPr>
          <w:t>2</w:t>
        </w:r>
        <w:r w:rsidRPr="005F331D">
          <w:rPr>
            <w:rStyle w:val="a5"/>
            <w:noProof/>
          </w:rPr>
          <w:t xml:space="preserve">. </w:t>
        </w:r>
        <w:r w:rsidRPr="005F331D">
          <w:rPr>
            <w:rStyle w:val="a5"/>
            <w:noProof/>
            <w:lang w:val="uk-UA"/>
          </w:rPr>
          <w:t>Програма навчального візиту</w:t>
        </w:r>
        <w:r w:rsidRPr="005F331D">
          <w:rPr>
            <w:noProof/>
            <w:webHidden/>
          </w:rPr>
          <w:tab/>
        </w:r>
        <w:r w:rsidRPr="005F331D">
          <w:rPr>
            <w:noProof/>
            <w:webHidden/>
            <w:lang w:val="uk-UA"/>
          </w:rPr>
          <w:t>8</w:t>
        </w:r>
      </w:hyperlink>
    </w:p>
    <w:p w:rsidR="00C317EB" w:rsidRPr="005F331D" w:rsidRDefault="00C317EB" w:rsidP="00C317EB">
      <w:pPr>
        <w:pStyle w:val="11"/>
        <w:tabs>
          <w:tab w:val="right" w:leader="dot" w:pos="9062"/>
        </w:tabs>
        <w:rPr>
          <w:noProof/>
          <w:sz w:val="22"/>
          <w:szCs w:val="22"/>
          <w:lang w:val="lt-LT" w:eastAsia="lt-LT"/>
        </w:rPr>
      </w:pPr>
      <w:hyperlink w:anchor="_Toc373744047" w:history="1">
        <w:r w:rsidRPr="005F331D">
          <w:rPr>
            <w:rStyle w:val="a5"/>
            <w:noProof/>
            <w:lang w:val="uk-UA"/>
          </w:rPr>
          <w:t>Додаток 3</w:t>
        </w:r>
        <w:r w:rsidRPr="005F331D">
          <w:rPr>
            <w:rStyle w:val="a5"/>
            <w:noProof/>
          </w:rPr>
          <w:t xml:space="preserve">. </w:t>
        </w:r>
        <w:r w:rsidRPr="005F331D">
          <w:rPr>
            <w:rStyle w:val="a5"/>
            <w:noProof/>
            <w:lang w:val="uk-UA"/>
          </w:rPr>
          <w:t>Особи, з якими були проведені зустрічі</w:t>
        </w:r>
        <w:r w:rsidRPr="005F331D">
          <w:rPr>
            <w:noProof/>
            <w:webHidden/>
          </w:rPr>
          <w:tab/>
        </w:r>
        <w:r w:rsidRPr="005F331D">
          <w:rPr>
            <w:noProof/>
            <w:webHidden/>
            <w:lang w:val="uk-UA"/>
          </w:rPr>
          <w:t>10</w:t>
        </w:r>
      </w:hyperlink>
    </w:p>
    <w:p w:rsidR="00C317EB" w:rsidRPr="00B85410" w:rsidRDefault="00C317EB" w:rsidP="00C317EB">
      <w:pPr>
        <w:pStyle w:val="3"/>
        <w:rPr>
          <w:szCs w:val="22"/>
          <w:lang w:val="en-GB"/>
        </w:rPr>
      </w:pPr>
      <w:r w:rsidRPr="005F331D">
        <w:rPr>
          <w:szCs w:val="22"/>
          <w:lang w:val="en-GB"/>
        </w:rPr>
        <w:fldChar w:fldCharType="end"/>
      </w:r>
    </w:p>
    <w:p w:rsidR="00C317EB" w:rsidRPr="005F331D" w:rsidRDefault="00C317EB" w:rsidP="00C317EB">
      <w:pPr>
        <w:rPr>
          <w:lang w:val="fi-FI"/>
        </w:rPr>
      </w:pPr>
    </w:p>
    <w:p w:rsidR="00C317EB" w:rsidRPr="005F331D" w:rsidRDefault="00C317EB" w:rsidP="00C317EB">
      <w:pPr>
        <w:rPr>
          <w:lang w:val="fi-FI"/>
        </w:rPr>
      </w:pPr>
    </w:p>
    <w:p w:rsidR="00C317EB" w:rsidRPr="005F331D" w:rsidRDefault="00C317EB" w:rsidP="00C317EB">
      <w:pPr>
        <w:rPr>
          <w:lang w:val="fi-FI"/>
        </w:rPr>
      </w:pPr>
    </w:p>
    <w:p w:rsidR="00C317EB" w:rsidRPr="005F331D" w:rsidRDefault="00C317EB" w:rsidP="00C317EB">
      <w:pPr>
        <w:jc w:val="both"/>
        <w:outlineLvl w:val="0"/>
        <w:rPr>
          <w:b/>
          <w:sz w:val="28"/>
          <w:lang w:val="uk-UA"/>
        </w:rPr>
      </w:pPr>
      <w:r w:rsidRPr="005F331D">
        <w:rPr>
          <w:b/>
          <w:sz w:val="28"/>
          <w:lang w:val="uk-UA"/>
        </w:rPr>
        <w:t>Список скорочень</w:t>
      </w:r>
    </w:p>
    <w:p w:rsidR="00C317EB" w:rsidRPr="00C317EB" w:rsidRDefault="00C317EB" w:rsidP="00C317EB">
      <w:pPr>
        <w:jc w:val="both"/>
        <w:outlineLvl w:val="0"/>
        <w:rPr>
          <w:b/>
          <w:sz w:val="28"/>
          <w:lang w:val="ru-RU"/>
        </w:rPr>
      </w:pPr>
    </w:p>
    <w:p w:rsidR="00C317EB" w:rsidRPr="005F331D" w:rsidRDefault="00C317EB" w:rsidP="00C317EB">
      <w:pPr>
        <w:rPr>
          <w:lang w:val="uk-UA"/>
        </w:rPr>
      </w:pPr>
      <w:r w:rsidRPr="005F331D">
        <w:rPr>
          <w:lang w:val="uk-UA"/>
        </w:rPr>
        <w:t>ТЗ</w:t>
      </w:r>
      <w:r w:rsidRPr="005F331D">
        <w:rPr>
          <w:lang w:val="ru-RU"/>
        </w:rPr>
        <w:tab/>
      </w:r>
      <w:r w:rsidRPr="005F331D">
        <w:rPr>
          <w:lang w:val="ru-RU"/>
        </w:rPr>
        <w:tab/>
      </w:r>
      <w:proofErr w:type="spellStart"/>
      <w:r w:rsidRPr="005F331D">
        <w:rPr>
          <w:lang w:val="ru-RU"/>
        </w:rPr>
        <w:t>Технічне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завдання</w:t>
      </w:r>
      <w:proofErr w:type="spellEnd"/>
    </w:p>
    <w:p w:rsidR="00C317EB" w:rsidRPr="005F331D" w:rsidRDefault="00C317EB" w:rsidP="00C317EB">
      <w:pPr>
        <w:rPr>
          <w:lang w:val="ru-RU"/>
        </w:rPr>
      </w:pPr>
      <w:r w:rsidRPr="00B85410">
        <w:rPr>
          <w:lang w:val="uk-UA"/>
        </w:rPr>
        <w:t>ДССУ</w:t>
      </w:r>
      <w:r w:rsidRPr="005F331D">
        <w:rPr>
          <w:lang w:val="ru-RU"/>
        </w:rPr>
        <w:tab/>
      </w:r>
      <w:r w:rsidRPr="005F331D">
        <w:rPr>
          <w:lang w:val="ru-RU"/>
        </w:rPr>
        <w:tab/>
      </w:r>
      <w:r w:rsidRPr="005F331D">
        <w:rPr>
          <w:lang w:val="uk-UA"/>
        </w:rPr>
        <w:t>Державна служба статистики України</w:t>
      </w:r>
      <w:r w:rsidRPr="005F331D">
        <w:rPr>
          <w:lang w:val="ru-RU"/>
        </w:rPr>
        <w:t xml:space="preserve"> </w:t>
      </w:r>
    </w:p>
    <w:p w:rsidR="00C317EB" w:rsidRPr="005F331D" w:rsidRDefault="00C317EB" w:rsidP="00C317EB">
      <w:pPr>
        <w:rPr>
          <w:lang w:val="uk-UA"/>
        </w:rPr>
      </w:pPr>
      <w:r w:rsidRPr="005F331D">
        <w:rPr>
          <w:lang w:val="uk-UA"/>
        </w:rPr>
        <w:t>СЛ</w:t>
      </w:r>
      <w:r w:rsidRPr="005F331D">
        <w:rPr>
          <w:lang w:val="ru-RU"/>
        </w:rPr>
        <w:tab/>
      </w:r>
      <w:r w:rsidRPr="005F331D">
        <w:rPr>
          <w:lang w:val="ru-RU"/>
        </w:rPr>
        <w:tab/>
      </w:r>
      <w:r w:rsidRPr="005F331D">
        <w:rPr>
          <w:lang w:val="uk-UA"/>
        </w:rPr>
        <w:t>Департамент статистики Литовської Республіки</w:t>
      </w:r>
    </w:p>
    <w:p w:rsidR="00C317EB" w:rsidRPr="005F331D" w:rsidRDefault="00C317EB" w:rsidP="00C317EB">
      <w:pPr>
        <w:pStyle w:val="1"/>
        <w:rPr>
          <w:sz w:val="28"/>
          <w:szCs w:val="28"/>
          <w:lang w:val="ru-RU"/>
        </w:rPr>
      </w:pPr>
      <w:r w:rsidRPr="00B85410">
        <w:br w:type="page"/>
      </w:r>
      <w:bookmarkStart w:id="3" w:name="_Toc373744031"/>
      <w:r w:rsidRPr="00B85410">
        <w:rPr>
          <w:sz w:val="28"/>
          <w:szCs w:val="28"/>
          <w:lang w:val="uk-UA"/>
        </w:rPr>
        <w:lastRenderedPageBreak/>
        <w:t>1</w:t>
      </w:r>
      <w:r w:rsidRPr="005F331D">
        <w:rPr>
          <w:sz w:val="28"/>
          <w:szCs w:val="28"/>
        </w:rPr>
        <w:t xml:space="preserve">. </w:t>
      </w:r>
      <w:r w:rsidRPr="005F331D">
        <w:rPr>
          <w:sz w:val="28"/>
          <w:szCs w:val="28"/>
          <w:lang w:val="uk-UA"/>
        </w:rPr>
        <w:t>Загальна частина</w:t>
      </w:r>
      <w:r w:rsidRPr="005F331D">
        <w:rPr>
          <w:sz w:val="28"/>
          <w:szCs w:val="28"/>
          <w:lang w:val="ru-RU"/>
        </w:rPr>
        <w:t xml:space="preserve"> </w:t>
      </w:r>
    </w:p>
    <w:bookmarkEnd w:id="3"/>
    <w:p w:rsidR="00C317EB" w:rsidRPr="005F331D" w:rsidRDefault="00C317EB" w:rsidP="00C317EB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 xml:space="preserve">Цей звіт про здійснення навчального візиту було складено в рамках Проекту </w:t>
      </w:r>
      <w:proofErr w:type="spellStart"/>
      <w:r w:rsidRPr="005F331D">
        <w:rPr>
          <w:rFonts w:ascii="Times New Roman" w:hAnsi="Times New Roman"/>
          <w:sz w:val="24"/>
          <w:szCs w:val="24"/>
          <w:lang w:val="uk-UA"/>
        </w:rPr>
        <w:t>Твіннінг</w:t>
      </w:r>
      <w:proofErr w:type="spellEnd"/>
      <w:r w:rsidRPr="005F331D">
        <w:rPr>
          <w:rFonts w:ascii="Times New Roman" w:hAnsi="Times New Roman"/>
          <w:sz w:val="24"/>
          <w:szCs w:val="24"/>
          <w:lang w:val="uk-UA"/>
        </w:rPr>
        <w:t xml:space="preserve"> «Сприяння процесам удосконалення Державної служби статистики України з метою покращення її потенціалу та продукції»</w:t>
      </w:r>
      <w:r w:rsidRPr="005F331D">
        <w:rPr>
          <w:rFonts w:ascii="Times New Roman" w:hAnsi="Times New Roman"/>
          <w:spacing w:val="2"/>
          <w:sz w:val="24"/>
          <w:szCs w:val="24"/>
        </w:rPr>
        <w:t xml:space="preserve"> № 13/ENP/ST/38</w:t>
      </w:r>
      <w:r w:rsidRPr="005F331D">
        <w:rPr>
          <w:rFonts w:ascii="Times New Roman" w:hAnsi="Times New Roman"/>
          <w:sz w:val="24"/>
          <w:szCs w:val="24"/>
          <w:lang w:val="uk-UA"/>
        </w:rPr>
        <w:t xml:space="preserve">. Це був другий захід Компоненту 12 Проекту </w:t>
      </w:r>
      <w:proofErr w:type="spellStart"/>
      <w:r w:rsidRPr="005F331D">
        <w:rPr>
          <w:rFonts w:ascii="Times New Roman" w:hAnsi="Times New Roman"/>
          <w:sz w:val="24"/>
          <w:szCs w:val="24"/>
          <w:lang w:val="uk-UA"/>
        </w:rPr>
        <w:t>Твіннінг</w:t>
      </w:r>
      <w:proofErr w:type="spellEnd"/>
      <w:r w:rsidRPr="005F331D">
        <w:rPr>
          <w:rFonts w:ascii="Times New Roman" w:hAnsi="Times New Roman"/>
          <w:sz w:val="24"/>
          <w:szCs w:val="24"/>
          <w:lang w:val="uk-UA"/>
        </w:rPr>
        <w:t xml:space="preserve"> «Обстеження умов життя домогосподарств» (Додаток 1 – ТЗ візиту).</w:t>
      </w:r>
    </w:p>
    <w:p w:rsidR="00C317EB" w:rsidRPr="005F331D" w:rsidRDefault="00C317EB" w:rsidP="00C317EB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85410">
        <w:rPr>
          <w:rFonts w:ascii="Times New Roman" w:hAnsi="Times New Roman"/>
          <w:sz w:val="24"/>
          <w:szCs w:val="24"/>
          <w:lang w:val="uk-UA"/>
        </w:rPr>
        <w:t>Головною м</w:t>
      </w:r>
      <w:r w:rsidRPr="005F331D">
        <w:rPr>
          <w:rFonts w:ascii="Times New Roman" w:hAnsi="Times New Roman"/>
          <w:sz w:val="24"/>
          <w:szCs w:val="24"/>
          <w:lang w:val="uk-UA"/>
        </w:rPr>
        <w:t xml:space="preserve">етою візиту було ознайомлення з досвідом органів статистики Литовської Республіки з питань методології розрахунку за результатами вибіркового обстеження умов життя домогосподарств, яке проводиться в усіх країнах ЄС (далі – EU-SILC), показників доходів домогосподарств (включаючи </w:t>
      </w:r>
      <w:proofErr w:type="spellStart"/>
      <w:r w:rsidRPr="005F331D">
        <w:rPr>
          <w:rFonts w:ascii="Times New Roman" w:hAnsi="Times New Roman"/>
          <w:sz w:val="24"/>
          <w:szCs w:val="24"/>
          <w:lang w:val="uk-UA"/>
        </w:rPr>
        <w:t>імпутовану</w:t>
      </w:r>
      <w:proofErr w:type="spellEnd"/>
      <w:r w:rsidRPr="005F331D">
        <w:rPr>
          <w:rFonts w:ascii="Times New Roman" w:hAnsi="Times New Roman"/>
          <w:sz w:val="24"/>
          <w:szCs w:val="24"/>
          <w:lang w:val="uk-UA"/>
        </w:rPr>
        <w:t xml:space="preserve"> ренту) та індикаторів матеріальної </w:t>
      </w:r>
      <w:proofErr w:type="spellStart"/>
      <w:r w:rsidRPr="005F331D">
        <w:rPr>
          <w:rFonts w:ascii="Times New Roman" w:hAnsi="Times New Roman"/>
          <w:sz w:val="24"/>
          <w:szCs w:val="24"/>
          <w:lang w:val="uk-UA"/>
        </w:rPr>
        <w:t>депривації</w:t>
      </w:r>
      <w:proofErr w:type="spellEnd"/>
      <w:r w:rsidRPr="005F331D">
        <w:rPr>
          <w:rFonts w:ascii="Times New Roman" w:hAnsi="Times New Roman"/>
          <w:sz w:val="24"/>
          <w:szCs w:val="24"/>
          <w:lang w:val="uk-UA"/>
        </w:rPr>
        <w:t xml:space="preserve"> (позбавлення).</w:t>
      </w:r>
    </w:p>
    <w:p w:rsidR="00C317EB" w:rsidRPr="005F331D" w:rsidRDefault="00C317EB" w:rsidP="00C317EB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5F331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F331D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5F331D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5F331D">
        <w:rPr>
          <w:rFonts w:ascii="Times New Roman" w:hAnsi="Times New Roman"/>
          <w:sz w:val="24"/>
          <w:szCs w:val="24"/>
          <w:lang w:val="ru-RU"/>
        </w:rPr>
        <w:t>візиту</w:t>
      </w:r>
      <w:proofErr w:type="spellEnd"/>
      <w:r w:rsidRPr="005F331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F331D">
        <w:rPr>
          <w:rFonts w:ascii="Times New Roman" w:hAnsi="Times New Roman"/>
          <w:sz w:val="24"/>
          <w:szCs w:val="24"/>
          <w:lang w:val="ru-RU"/>
        </w:rPr>
        <w:t>було</w:t>
      </w:r>
      <w:proofErr w:type="spellEnd"/>
      <w:r w:rsidRPr="005F331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F331D">
        <w:rPr>
          <w:rFonts w:ascii="Times New Roman" w:hAnsi="Times New Roman"/>
          <w:sz w:val="24"/>
          <w:szCs w:val="24"/>
          <w:lang w:val="ru-RU"/>
        </w:rPr>
        <w:t>розглянуто</w:t>
      </w:r>
      <w:proofErr w:type="spellEnd"/>
      <w:r w:rsidRPr="005F331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F331D">
        <w:rPr>
          <w:rFonts w:ascii="Times New Roman" w:hAnsi="Times New Roman"/>
          <w:sz w:val="24"/>
          <w:szCs w:val="24"/>
          <w:lang w:val="ru-RU"/>
        </w:rPr>
        <w:t>такі</w:t>
      </w:r>
      <w:proofErr w:type="spellEnd"/>
      <w:r w:rsidRPr="005F331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F331D">
        <w:rPr>
          <w:rFonts w:ascii="Times New Roman" w:hAnsi="Times New Roman"/>
          <w:sz w:val="24"/>
          <w:szCs w:val="24"/>
          <w:lang w:val="ru-RU"/>
        </w:rPr>
        <w:t>питання</w:t>
      </w:r>
      <w:proofErr w:type="spellEnd"/>
      <w:r w:rsidRPr="005F331D">
        <w:rPr>
          <w:rFonts w:ascii="Times New Roman" w:hAnsi="Times New Roman"/>
          <w:sz w:val="24"/>
          <w:szCs w:val="24"/>
          <w:lang w:val="ru-RU"/>
        </w:rPr>
        <w:t>: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Організація статистичної системи Литовської Республіки</w:t>
      </w:r>
      <w:r w:rsidRPr="005F331D">
        <w:rPr>
          <w:rFonts w:ascii="Times New Roman" w:hAnsi="Times New Roman"/>
          <w:sz w:val="24"/>
          <w:szCs w:val="24"/>
          <w:lang w:val="ru-RU"/>
        </w:rPr>
        <w:t>.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Організація проведення Обстеження доходів та умов життя в ЄС (EU-SILC) статистичною службою Литовської Республіки. Упровадження методики CAPI (проведення персонального інтерв’ю з використанням комп’ютерів) для збору даних.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 xml:space="preserve">Індикатор доходу домогосподарств та його компоненти в Обстеженні доходів та умов життя в ЄС (EU-SILC). 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Литовська практика використання адміністративних джерел даних для встановлення змінних доходів EU-SILC.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Розрахунок індикаторів ризику бідності та соціального виключення за результатами Обстеження доходів та умов життя в ЄС (EU-SILC).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 xml:space="preserve">Обчислення </w:t>
      </w:r>
      <w:proofErr w:type="spellStart"/>
      <w:r w:rsidRPr="005F331D">
        <w:rPr>
          <w:rFonts w:ascii="Times New Roman" w:hAnsi="Times New Roman"/>
          <w:sz w:val="24"/>
          <w:szCs w:val="24"/>
          <w:lang w:val="uk-UA"/>
        </w:rPr>
        <w:t>імпутованої</w:t>
      </w:r>
      <w:proofErr w:type="spellEnd"/>
      <w:r w:rsidRPr="005F331D">
        <w:rPr>
          <w:rFonts w:ascii="Times New Roman" w:hAnsi="Times New Roman"/>
          <w:sz w:val="24"/>
          <w:szCs w:val="24"/>
          <w:lang w:val="uk-UA"/>
        </w:rPr>
        <w:t xml:space="preserve"> ренти, які проводить статистична служба Литви.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Звіти з якості даних Обстеження доходів та умов життя в ЄС (EU-SILC), підготовлені Статистичною службою Литви.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Метадані EU-SILC відповідно до стандартів ЄС.</w:t>
      </w:r>
    </w:p>
    <w:p w:rsidR="00C317EB" w:rsidRPr="005F331D" w:rsidRDefault="00C317EB" w:rsidP="00C317EB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Європейська програма перевірки EU-SILC.</w:t>
      </w:r>
    </w:p>
    <w:p w:rsidR="00C317EB" w:rsidRPr="005F331D" w:rsidRDefault="00C317EB" w:rsidP="00C317EB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5F331D">
        <w:rPr>
          <w:rFonts w:ascii="Times New Roman" w:hAnsi="Times New Roman"/>
          <w:sz w:val="24"/>
          <w:szCs w:val="24"/>
          <w:lang w:val="uk-UA"/>
        </w:rPr>
        <w:t>Представники ДССУ висловлюють щиру вдячність всім представникам С</w:t>
      </w:r>
      <w:r w:rsidRPr="00B85410">
        <w:rPr>
          <w:rFonts w:ascii="Times New Roman" w:hAnsi="Times New Roman"/>
          <w:sz w:val="24"/>
          <w:szCs w:val="24"/>
          <w:lang w:val="uk-UA"/>
        </w:rPr>
        <w:t>Л</w:t>
      </w:r>
      <w:r w:rsidRPr="005F331D">
        <w:rPr>
          <w:rFonts w:ascii="Times New Roman" w:hAnsi="Times New Roman"/>
          <w:sz w:val="24"/>
          <w:szCs w:val="24"/>
          <w:lang w:val="uk-UA"/>
        </w:rPr>
        <w:t xml:space="preserve">, з якими відбувалися зустрічі </w:t>
      </w:r>
      <w:r w:rsidRPr="00B85410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 w:rsidRPr="005F331D">
        <w:rPr>
          <w:rFonts w:ascii="Times New Roman" w:hAnsi="Times New Roman"/>
          <w:sz w:val="24"/>
          <w:szCs w:val="24"/>
          <w:lang w:val="uk-UA"/>
        </w:rPr>
        <w:t>3) та які здійснили</w:t>
      </w:r>
      <w:r w:rsidRPr="00B854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F331D">
        <w:rPr>
          <w:rFonts w:ascii="Times New Roman" w:hAnsi="Times New Roman"/>
          <w:sz w:val="24"/>
          <w:szCs w:val="24"/>
          <w:lang w:val="uk-UA"/>
        </w:rPr>
        <w:t>презентації відповідно до програми навчального візиту, за корисну</w:t>
      </w:r>
      <w:r w:rsidRPr="00B854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F331D">
        <w:rPr>
          <w:rFonts w:ascii="Times New Roman" w:hAnsi="Times New Roman"/>
          <w:sz w:val="24"/>
          <w:szCs w:val="24"/>
          <w:lang w:val="uk-UA"/>
        </w:rPr>
        <w:t>інформацію, яка була отримана під час візиту</w:t>
      </w:r>
      <w:r w:rsidRPr="00B85410">
        <w:rPr>
          <w:rFonts w:ascii="Times New Roman" w:hAnsi="Times New Roman"/>
          <w:sz w:val="24"/>
          <w:szCs w:val="24"/>
          <w:lang w:val="uk-UA"/>
        </w:rPr>
        <w:t>.</w:t>
      </w:r>
    </w:p>
    <w:p w:rsidR="00C317EB" w:rsidRPr="005F331D" w:rsidRDefault="00C317EB" w:rsidP="00C317EB">
      <w:pPr>
        <w:pStyle w:val="1"/>
        <w:rPr>
          <w:sz w:val="28"/>
          <w:szCs w:val="28"/>
          <w:lang w:val="ru-RU"/>
        </w:rPr>
      </w:pPr>
      <w:bookmarkStart w:id="4" w:name="_Toc373744032"/>
      <w:r w:rsidRPr="005F331D">
        <w:rPr>
          <w:sz w:val="28"/>
          <w:szCs w:val="28"/>
        </w:rPr>
        <w:t xml:space="preserve">2. </w:t>
      </w:r>
      <w:bookmarkEnd w:id="4"/>
      <w:r w:rsidRPr="005F331D">
        <w:rPr>
          <w:sz w:val="28"/>
          <w:szCs w:val="28"/>
          <w:lang w:val="uk-UA"/>
        </w:rPr>
        <w:t>Оцінка та результати</w:t>
      </w:r>
      <w:r w:rsidRPr="005F331D">
        <w:rPr>
          <w:sz w:val="28"/>
          <w:szCs w:val="28"/>
          <w:lang w:val="ru-RU"/>
        </w:rPr>
        <w:t xml:space="preserve"> </w:t>
      </w:r>
    </w:p>
    <w:p w:rsidR="00C317EB" w:rsidRPr="005F331D" w:rsidRDefault="00C317EB" w:rsidP="00C317EB">
      <w:pPr>
        <w:ind w:firstLine="900"/>
        <w:jc w:val="both"/>
        <w:rPr>
          <w:b/>
          <w:lang w:val="uk-UA"/>
        </w:rPr>
      </w:pPr>
      <w:r w:rsidRPr="005F331D">
        <w:rPr>
          <w:b/>
          <w:lang w:val="uk-UA"/>
        </w:rPr>
        <w:t xml:space="preserve">2.1. Статистична система Литовської Республіки </w:t>
      </w:r>
    </w:p>
    <w:p w:rsidR="00C317EB" w:rsidRPr="005F331D" w:rsidRDefault="00C317EB" w:rsidP="00C317EB">
      <w:pPr>
        <w:ind w:firstLine="900"/>
        <w:jc w:val="both"/>
      </w:pPr>
      <w:r w:rsidRPr="005F331D">
        <w:t xml:space="preserve">Відповідно до програми </w:t>
      </w:r>
      <w:proofErr w:type="spellStart"/>
      <w:r w:rsidRPr="00B85410">
        <w:rPr>
          <w:lang w:val="uk-UA"/>
        </w:rPr>
        <w:t>навчальн</w:t>
      </w:r>
      <w:proofErr w:type="spellEnd"/>
      <w:r w:rsidRPr="005F331D">
        <w:t xml:space="preserve">ого візиту представники </w:t>
      </w:r>
      <w:r w:rsidRPr="005F331D">
        <w:rPr>
          <w:lang w:val="uk-UA"/>
        </w:rPr>
        <w:t>ДСС</w:t>
      </w:r>
      <w:r w:rsidRPr="005F331D">
        <w:t xml:space="preserve">У </w:t>
      </w:r>
      <w:r w:rsidRPr="00B85410">
        <w:rPr>
          <w:lang w:val="uk-UA"/>
        </w:rPr>
        <w:t>були ознайомлені</w:t>
      </w:r>
      <w:r w:rsidRPr="005F331D">
        <w:t xml:space="preserve"> з організаційною схемою статистичної системи Литовської Республіки. </w:t>
      </w:r>
      <w:r w:rsidRPr="005F331D">
        <w:rPr>
          <w:lang w:val="uk-UA"/>
        </w:rPr>
        <w:t>С</w:t>
      </w:r>
      <w:r w:rsidRPr="005F331D">
        <w:t>Л знаходиться у підпорядкуванні Міністерства фінансів. Основний законодавчий документ – Закон про статистику був прийнятий у 1993 році та переглянутий у 1999 році. Загалом законодавство у сфері статистики налічує близько 140 національних актів. 73%</w:t>
      </w:r>
      <w:r w:rsidRPr="00B85410">
        <w:rPr>
          <w:lang w:val="uk-UA"/>
        </w:rPr>
        <w:t xml:space="preserve"> -</w:t>
      </w:r>
      <w:r w:rsidRPr="005F331D">
        <w:t xml:space="preserve"> регулюється актами ЄС. Територіальні органи статистики є віддаленими відділами. Очолює Департамент статистики Литовської Республіки Генеральний директор, який має чотирьох заступників, відповідальних за певні сфери статистичної діяльності. Також при Департаменті статистики є Статистична Рада, до складу якої входять 20 членів – представників міністерств, наукових кіл тощо. 43% штатних працівників працюють у підрозділах, які безпосередньо  відповідають за проведення статистичних спостережень, 16% – відповідають за підготовку даних, 21% – інтерв’юєри та 20% – керівництво та допоміжні підрозділи. Електронну звітність почали впроваджувати у 2002р., у 2012р. вже було переведено 100% звітності.</w:t>
      </w:r>
    </w:p>
    <w:p w:rsidR="00C317EB" w:rsidRPr="005F331D" w:rsidRDefault="00C317EB" w:rsidP="00C317EB">
      <w:pPr>
        <w:ind w:firstLine="900"/>
        <w:jc w:val="both"/>
        <w:rPr>
          <w:sz w:val="16"/>
          <w:szCs w:val="16"/>
          <w:lang w:val="uk-UA"/>
        </w:rPr>
      </w:pPr>
    </w:p>
    <w:p w:rsidR="00C317EB" w:rsidRPr="005F331D" w:rsidRDefault="00C317EB" w:rsidP="00C317EB">
      <w:pPr>
        <w:ind w:firstLine="900"/>
        <w:jc w:val="both"/>
        <w:rPr>
          <w:b/>
          <w:lang w:val="uk-UA"/>
        </w:rPr>
      </w:pPr>
      <w:r w:rsidRPr="005F331D">
        <w:rPr>
          <w:b/>
          <w:lang w:val="uk-UA"/>
        </w:rPr>
        <w:lastRenderedPageBreak/>
        <w:t xml:space="preserve">2.2. Організація проведення </w:t>
      </w:r>
      <w:r w:rsidRPr="00B85410">
        <w:rPr>
          <w:b/>
          <w:lang w:val="uk-UA"/>
        </w:rPr>
        <w:t xml:space="preserve">Статистикою Литви </w:t>
      </w:r>
      <w:r w:rsidRPr="005F331D">
        <w:rPr>
          <w:b/>
          <w:lang w:val="uk-UA"/>
        </w:rPr>
        <w:t xml:space="preserve">Обстеження </w:t>
      </w:r>
      <w:r w:rsidRPr="00B85410">
        <w:rPr>
          <w:b/>
          <w:lang w:val="uk-UA"/>
        </w:rPr>
        <w:t>д</w:t>
      </w:r>
      <w:r w:rsidRPr="005F331D">
        <w:rPr>
          <w:b/>
          <w:lang w:val="uk-UA"/>
        </w:rPr>
        <w:t>оходів та умов життя в ЄС (EU-SILC). Упровадження методики CAPI (проведення персонального інтерв’ю з використанням комп’ютер</w:t>
      </w:r>
      <w:r w:rsidRPr="00B85410">
        <w:rPr>
          <w:b/>
          <w:lang w:val="uk-UA"/>
        </w:rPr>
        <w:t>ів</w:t>
      </w:r>
      <w:r w:rsidRPr="005F331D">
        <w:rPr>
          <w:b/>
          <w:lang w:val="uk-UA"/>
        </w:rPr>
        <w:t>) для збору даних.</w:t>
      </w:r>
    </w:p>
    <w:p w:rsidR="00C317EB" w:rsidRPr="005F331D" w:rsidRDefault="00C317EB" w:rsidP="00C317EB">
      <w:pPr>
        <w:ind w:firstLine="900"/>
        <w:jc w:val="both"/>
      </w:pPr>
      <w:r w:rsidRPr="00B85410">
        <w:rPr>
          <w:lang w:val="uk-UA"/>
        </w:rPr>
        <w:t>Суттєва</w:t>
      </w:r>
      <w:r w:rsidRPr="005F331D">
        <w:t xml:space="preserve"> увага </w:t>
      </w:r>
      <w:r w:rsidRPr="00B85410">
        <w:rPr>
          <w:lang w:val="uk-UA"/>
        </w:rPr>
        <w:t xml:space="preserve">в ході візиту </w:t>
      </w:r>
      <w:r w:rsidRPr="005F331D">
        <w:t>була приділена методологічним та організаційним питанням проведення обстеження EU-SILC у Литовській Республіці.</w:t>
      </w:r>
      <w:r w:rsidRPr="00B85410">
        <w:rPr>
          <w:sz w:val="28"/>
          <w:szCs w:val="28"/>
          <w:lang w:val="ru-RU"/>
        </w:rPr>
        <w:t xml:space="preserve"> </w:t>
      </w:r>
      <w:r w:rsidRPr="005F331D">
        <w:t xml:space="preserve">Опитування населення у Литовській Республіці здійснюють 86 інтерв’юєрів, роботою яких керують 12 супервайзерів. Усі вони є постійними штатними працівниками. Опитування </w:t>
      </w:r>
      <w:r w:rsidRPr="00B85410">
        <w:rPr>
          <w:lang w:val="uk-UA"/>
        </w:rPr>
        <w:t>проводиться</w:t>
      </w:r>
      <w:r w:rsidRPr="005F331D">
        <w:t xml:space="preserve"> з </w:t>
      </w:r>
      <w:r w:rsidRPr="00B85410">
        <w:rPr>
          <w:lang w:val="uk-UA"/>
        </w:rPr>
        <w:t>використанням</w:t>
      </w:r>
      <w:r w:rsidRPr="005F331D">
        <w:t xml:space="preserve"> ноутбуків (методом САРІ). У </w:t>
      </w:r>
      <w:r w:rsidRPr="00B85410">
        <w:rPr>
          <w:lang w:val="uk-UA"/>
        </w:rPr>
        <w:t>СЛ</w:t>
      </w:r>
      <w:r w:rsidRPr="005F331D">
        <w:t xml:space="preserve"> створена єдина система (KRASZ), яка дозволяє </w:t>
      </w:r>
      <w:r w:rsidRPr="00B85410">
        <w:rPr>
          <w:lang w:val="uk-UA"/>
        </w:rPr>
        <w:t>здійснювати моніторинг</w:t>
      </w:r>
      <w:r w:rsidRPr="005F331D">
        <w:t xml:space="preserve"> </w:t>
      </w:r>
      <w:r w:rsidRPr="00B85410">
        <w:rPr>
          <w:lang w:val="uk-UA"/>
        </w:rPr>
        <w:t xml:space="preserve">та керівництво </w:t>
      </w:r>
      <w:r w:rsidRPr="005F331D">
        <w:t>робот</w:t>
      </w:r>
      <w:proofErr w:type="spellStart"/>
      <w:r w:rsidRPr="00B85410">
        <w:rPr>
          <w:lang w:val="uk-UA"/>
        </w:rPr>
        <w:t>ою</w:t>
      </w:r>
      <w:proofErr w:type="spellEnd"/>
      <w:r w:rsidRPr="005F331D">
        <w:t xml:space="preserve"> інтерв’юєрів. Перша спроба персонального інтерв</w:t>
      </w:r>
      <w:r w:rsidRPr="00C317EB">
        <w:t>’</w:t>
      </w:r>
      <w:r w:rsidRPr="005F331D">
        <w:t>ю за метод</w:t>
      </w:r>
      <w:r w:rsidRPr="00B85410">
        <w:rPr>
          <w:lang w:val="uk-UA"/>
        </w:rPr>
        <w:t>ом</w:t>
      </w:r>
      <w:r w:rsidRPr="005F331D">
        <w:t xml:space="preserve"> </w:t>
      </w:r>
      <w:r w:rsidRPr="00C317EB">
        <w:t>CAPI</w:t>
      </w:r>
      <w:r w:rsidRPr="005F331D">
        <w:t xml:space="preserve"> була проведена у 2013 році, </w:t>
      </w:r>
      <w:r w:rsidRPr="00B85410">
        <w:rPr>
          <w:lang w:val="uk-UA"/>
        </w:rPr>
        <w:t>за</w:t>
      </w:r>
      <w:r w:rsidRPr="005F331D">
        <w:t xml:space="preserve"> фінанс</w:t>
      </w:r>
      <w:proofErr w:type="spellStart"/>
      <w:r w:rsidRPr="00B85410">
        <w:rPr>
          <w:lang w:val="uk-UA"/>
        </w:rPr>
        <w:t>ової</w:t>
      </w:r>
      <w:proofErr w:type="spellEnd"/>
      <w:r w:rsidRPr="00B85410">
        <w:rPr>
          <w:lang w:val="uk-UA"/>
        </w:rPr>
        <w:t xml:space="preserve"> підтримки </w:t>
      </w:r>
      <w:proofErr w:type="spellStart"/>
      <w:r w:rsidRPr="00B85410">
        <w:rPr>
          <w:lang w:val="uk-UA"/>
        </w:rPr>
        <w:t>Є</w:t>
      </w:r>
      <w:r w:rsidRPr="005F331D">
        <w:rPr>
          <w:lang w:val="uk-UA"/>
        </w:rPr>
        <w:t>вростату</w:t>
      </w:r>
      <w:proofErr w:type="spellEnd"/>
      <w:r w:rsidRPr="005F331D">
        <w:t xml:space="preserve">. Введення даних </w:t>
      </w:r>
      <w:r w:rsidRPr="00B85410">
        <w:rPr>
          <w:lang w:val="uk-UA"/>
        </w:rPr>
        <w:t xml:space="preserve">в </w:t>
      </w:r>
      <w:proofErr w:type="spellStart"/>
      <w:r w:rsidRPr="00B85410">
        <w:rPr>
          <w:lang w:val="uk-UA"/>
        </w:rPr>
        <w:t>комп’</w:t>
      </w:r>
      <w:r w:rsidRPr="005F331D">
        <w:rPr>
          <w:lang w:val="ru-RU"/>
        </w:rPr>
        <w:t>ютер</w:t>
      </w:r>
      <w:proofErr w:type="spellEnd"/>
      <w:r w:rsidRPr="005F331D">
        <w:rPr>
          <w:lang w:val="ru-RU"/>
        </w:rPr>
        <w:t xml:space="preserve"> </w:t>
      </w:r>
      <w:r w:rsidRPr="005F331D">
        <w:t>відбувається за допомогою програмного забезпечення ABBII eFormFiller</w:t>
      </w:r>
      <w:r w:rsidRPr="005F331D">
        <w:rPr>
          <w:lang w:val="ru-RU"/>
        </w:rPr>
        <w:t xml:space="preserve">. </w:t>
      </w:r>
      <w:r w:rsidRPr="005F331D">
        <w:t xml:space="preserve"> </w:t>
      </w:r>
    </w:p>
    <w:p w:rsidR="00C317EB" w:rsidRPr="005F331D" w:rsidRDefault="00C317EB" w:rsidP="00C317EB">
      <w:pPr>
        <w:ind w:firstLine="900"/>
        <w:jc w:val="both"/>
      </w:pPr>
      <w:r w:rsidRPr="005F331D">
        <w:t xml:space="preserve">На даний час </w:t>
      </w:r>
      <w:r w:rsidRPr="00B85410">
        <w:rPr>
          <w:lang w:val="uk-UA"/>
        </w:rPr>
        <w:t>СЛ</w:t>
      </w:r>
      <w:r w:rsidRPr="005F331D">
        <w:t xml:space="preserve"> реалізує проект щодо модернізації соціальної статистики. За підсумками цього проекту буде впроваджена нова система організації роботи інтерв’юєрів, нові програми розробки даних</w:t>
      </w:r>
      <w:r w:rsidRPr="00B85410">
        <w:rPr>
          <w:lang w:val="uk-UA"/>
        </w:rPr>
        <w:t xml:space="preserve"> з</w:t>
      </w:r>
      <w:r w:rsidRPr="005F331D">
        <w:t xml:space="preserve"> акцент</w:t>
      </w:r>
      <w:r w:rsidRPr="00B85410">
        <w:rPr>
          <w:lang w:val="uk-UA"/>
        </w:rPr>
        <w:t>ом</w:t>
      </w:r>
      <w:r w:rsidRPr="005F331D">
        <w:t xml:space="preserve"> на використанн</w:t>
      </w:r>
      <w:r w:rsidRPr="00B85410">
        <w:rPr>
          <w:lang w:val="uk-UA"/>
        </w:rPr>
        <w:t>і</w:t>
      </w:r>
      <w:r w:rsidRPr="005F331D">
        <w:t xml:space="preserve"> сучасних Інтернет-технологій для збирання та оброблення даних вибіркових обстежень населення. За підсумками перепису населення, проведеного у Литовській Республіці у 2011р. заповнили он-лайн форми 35% населення. </w:t>
      </w:r>
      <w:r w:rsidRPr="00B85410">
        <w:t xml:space="preserve">За даними </w:t>
      </w:r>
      <w:r w:rsidRPr="005F331D">
        <w:rPr>
          <w:lang w:val="uk-UA"/>
        </w:rPr>
        <w:t>СЛ</w:t>
      </w:r>
      <w:r w:rsidRPr="005F331D">
        <w:t xml:space="preserve"> у цьому році 65% населення Литви мали ПК та Інтернет.</w:t>
      </w:r>
      <w:r w:rsidRPr="005F331D">
        <w:rPr>
          <w:lang w:val="uk-UA"/>
        </w:rPr>
        <w:t xml:space="preserve"> </w:t>
      </w:r>
      <w:r w:rsidRPr="005F331D">
        <w:t>Також одн</w:t>
      </w:r>
      <w:proofErr w:type="spellStart"/>
      <w:r w:rsidRPr="00B85410">
        <w:rPr>
          <w:lang w:val="uk-UA"/>
        </w:rPr>
        <w:t>им</w:t>
      </w:r>
      <w:proofErr w:type="spellEnd"/>
      <w:r w:rsidRPr="005F331D">
        <w:t xml:space="preserve"> із перспектив</w:t>
      </w:r>
      <w:r w:rsidRPr="00B85410">
        <w:rPr>
          <w:lang w:val="uk-UA"/>
        </w:rPr>
        <w:t>них завдань</w:t>
      </w:r>
      <w:r w:rsidRPr="005F331D">
        <w:t xml:space="preserve"> даного проекту є забезпечення інтерв’юєрів планшетами замість ноутбуків.</w:t>
      </w:r>
    </w:p>
    <w:p w:rsidR="00C317EB" w:rsidRPr="005F331D" w:rsidRDefault="00C317EB" w:rsidP="00C317EB">
      <w:pPr>
        <w:ind w:firstLine="900"/>
        <w:jc w:val="both"/>
      </w:pPr>
      <w:r w:rsidRPr="00B85410">
        <w:rPr>
          <w:lang w:val="uk-UA"/>
        </w:rPr>
        <w:t>В ході візиту були п</w:t>
      </w:r>
      <w:r w:rsidRPr="005F331D">
        <w:t>резент</w:t>
      </w:r>
      <w:proofErr w:type="spellStart"/>
      <w:r w:rsidRPr="005F331D">
        <w:rPr>
          <w:lang w:val="uk-UA"/>
        </w:rPr>
        <w:t>овані</w:t>
      </w:r>
      <w:proofErr w:type="spellEnd"/>
      <w:r w:rsidRPr="005F331D" w:rsidDel="003C4FF2">
        <w:t xml:space="preserve"> </w:t>
      </w:r>
      <w:r w:rsidRPr="005F331D">
        <w:rPr>
          <w:lang w:val="uk-UA"/>
        </w:rPr>
        <w:t>організаційні засади</w:t>
      </w:r>
      <w:r w:rsidRPr="005F331D">
        <w:t xml:space="preserve"> проведення </w:t>
      </w:r>
      <w:r w:rsidRPr="00B85410">
        <w:rPr>
          <w:lang w:val="uk-UA"/>
        </w:rPr>
        <w:t>О</w:t>
      </w:r>
      <w:r w:rsidRPr="005F331D">
        <w:t xml:space="preserve">бстеження  доходів та умов життя в ЄС (EU-SILC). Вибіркова сукупність для цього обстеження (як і для інших вибіркових обстежень населення) </w:t>
      </w:r>
      <w:r w:rsidRPr="00B85410">
        <w:rPr>
          <w:lang w:val="uk-UA"/>
        </w:rPr>
        <w:t xml:space="preserve">формується за </w:t>
      </w:r>
      <w:r w:rsidRPr="005F331D">
        <w:t>дани</w:t>
      </w:r>
      <w:r w:rsidRPr="00B85410">
        <w:rPr>
          <w:lang w:val="uk-UA"/>
        </w:rPr>
        <w:t>ми</w:t>
      </w:r>
      <w:r w:rsidRPr="005F331D">
        <w:t xml:space="preserve"> регістру населення. Відділ статистики рівня життя та зайнятості передає до відділу розвитку </w:t>
      </w:r>
      <w:r w:rsidRPr="00B85410">
        <w:rPr>
          <w:lang w:val="uk-UA"/>
        </w:rPr>
        <w:t>інформаційних технологій</w:t>
      </w:r>
      <w:r w:rsidRPr="005F331D">
        <w:t xml:space="preserve"> вимоги до </w:t>
      </w:r>
      <w:r w:rsidRPr="00B85410">
        <w:rPr>
          <w:lang w:val="uk-UA"/>
        </w:rPr>
        <w:t xml:space="preserve">побудови </w:t>
      </w:r>
      <w:r w:rsidRPr="005F331D">
        <w:t xml:space="preserve">вибіркової сукупності, на основі яких останній вже її формує. </w:t>
      </w:r>
      <w:r w:rsidRPr="00B85410">
        <w:rPr>
          <w:lang w:val="uk-UA"/>
        </w:rPr>
        <w:t>З</w:t>
      </w:r>
      <w:r w:rsidRPr="005F331D">
        <w:t xml:space="preserve"> вибіркової сукупності виключаються записи із неповними адресами, колективні домогосподарства, а також домогосподарства, які приймали участь у будь-яких державних вибіркових обстеженнях населення протягом останніх 5 років. Для кожної відібраної особи долучаються особи, які вказали ту саму адресу постійного проживання. </w:t>
      </w:r>
      <w:r w:rsidRPr="00B85410">
        <w:rPr>
          <w:lang w:val="ru-RU"/>
        </w:rPr>
        <w:t xml:space="preserve">Для </w:t>
      </w:r>
      <w:proofErr w:type="spellStart"/>
      <w:r w:rsidRPr="00B85410">
        <w:rPr>
          <w:lang w:val="ru-RU"/>
        </w:rPr>
        <w:t>обробки</w:t>
      </w:r>
      <w:proofErr w:type="spellEnd"/>
      <w:r w:rsidRPr="00B85410">
        <w:rPr>
          <w:lang w:val="ru-RU"/>
        </w:rPr>
        <w:t xml:space="preserve"> </w:t>
      </w:r>
      <w:proofErr w:type="spellStart"/>
      <w:r w:rsidRPr="00B85410">
        <w:rPr>
          <w:lang w:val="ru-RU"/>
        </w:rPr>
        <w:t>даних</w:t>
      </w:r>
      <w:proofErr w:type="spellEnd"/>
      <w:r w:rsidRPr="00B85410">
        <w:rPr>
          <w:lang w:val="ru-RU"/>
        </w:rPr>
        <w:t xml:space="preserve"> </w:t>
      </w:r>
      <w:proofErr w:type="spellStart"/>
      <w:r w:rsidRPr="00B85410">
        <w:rPr>
          <w:lang w:val="ru-RU"/>
        </w:rPr>
        <w:t>використовується</w:t>
      </w:r>
      <w:proofErr w:type="spellEnd"/>
      <w:r w:rsidRPr="00B85410">
        <w:rPr>
          <w:lang w:val="ru-RU"/>
        </w:rPr>
        <w:t xml:space="preserve">, як і у </w:t>
      </w:r>
      <w:proofErr w:type="spellStart"/>
      <w:r w:rsidRPr="00B85410">
        <w:rPr>
          <w:lang w:val="ru-RU"/>
        </w:rPr>
        <w:t>всіх</w:t>
      </w:r>
      <w:proofErr w:type="spellEnd"/>
      <w:r w:rsidRPr="00B85410">
        <w:rPr>
          <w:lang w:val="ru-RU"/>
        </w:rPr>
        <w:t xml:space="preserve"> </w:t>
      </w:r>
      <w:proofErr w:type="spellStart"/>
      <w:proofErr w:type="gramStart"/>
      <w:r w:rsidRPr="00B85410">
        <w:rPr>
          <w:lang w:val="ru-RU"/>
        </w:rPr>
        <w:t>країнах</w:t>
      </w:r>
      <w:proofErr w:type="spellEnd"/>
      <w:proofErr w:type="gramEnd"/>
      <w:r w:rsidRPr="00B85410">
        <w:rPr>
          <w:lang w:val="ru-RU"/>
        </w:rPr>
        <w:t xml:space="preserve">, </w:t>
      </w:r>
      <w:proofErr w:type="spellStart"/>
      <w:r w:rsidRPr="00B85410">
        <w:rPr>
          <w:lang w:val="ru-RU"/>
        </w:rPr>
        <w:t>що</w:t>
      </w:r>
      <w:proofErr w:type="spellEnd"/>
      <w:r w:rsidRPr="00B85410">
        <w:rPr>
          <w:lang w:val="ru-RU"/>
        </w:rPr>
        <w:t xml:space="preserve"> </w:t>
      </w:r>
      <w:proofErr w:type="spellStart"/>
      <w:r w:rsidRPr="00B85410">
        <w:rPr>
          <w:lang w:val="ru-RU"/>
        </w:rPr>
        <w:t>надають</w:t>
      </w:r>
      <w:proofErr w:type="spellEnd"/>
      <w:r w:rsidRPr="00B85410">
        <w:rPr>
          <w:lang w:val="ru-RU"/>
        </w:rPr>
        <w:t xml:space="preserve"> </w:t>
      </w:r>
      <w:proofErr w:type="spellStart"/>
      <w:r w:rsidRPr="00B85410">
        <w:rPr>
          <w:lang w:val="ru-RU"/>
        </w:rPr>
        <w:t>дані</w:t>
      </w:r>
      <w:proofErr w:type="spellEnd"/>
      <w:r w:rsidRPr="00B85410">
        <w:rPr>
          <w:lang w:val="ru-RU"/>
        </w:rPr>
        <w:t xml:space="preserve"> до </w:t>
      </w:r>
      <w:proofErr w:type="spellStart"/>
      <w:r w:rsidRPr="00B85410">
        <w:rPr>
          <w:lang w:val="ru-RU"/>
        </w:rPr>
        <w:t>Євростату</w:t>
      </w:r>
      <w:proofErr w:type="spellEnd"/>
      <w:r w:rsidRPr="00B85410">
        <w:rPr>
          <w:lang w:val="ru-RU"/>
        </w:rPr>
        <w:t xml:space="preserve">, ПЗ </w:t>
      </w:r>
      <w:r w:rsidRPr="005F331D">
        <w:rPr>
          <w:lang w:val="en-US"/>
        </w:rPr>
        <w:t>SAS</w:t>
      </w:r>
      <w:r w:rsidRPr="005F331D">
        <w:t>.</w:t>
      </w:r>
      <w:r w:rsidRPr="005F331D">
        <w:rPr>
          <w:lang w:val="uk-UA"/>
        </w:rPr>
        <w:t xml:space="preserve"> </w:t>
      </w:r>
      <w:r w:rsidRPr="005F331D">
        <w:t>Оскільки обстеження EU-SILC є обов’язковим для усіх країн ЄС, мінімальний обсяг вибірки для кожної країни, а також переліки показників, контролі результатів та терміни подання встановлюються Євростатом.</w:t>
      </w:r>
    </w:p>
    <w:p w:rsidR="00C317EB" w:rsidRPr="005F331D" w:rsidRDefault="00C317EB" w:rsidP="00C317EB">
      <w:pPr>
        <w:autoSpaceDE w:val="0"/>
        <w:autoSpaceDN w:val="0"/>
        <w:adjustRightInd w:val="0"/>
        <w:jc w:val="both"/>
        <w:rPr>
          <w:lang w:val="uk-UA"/>
        </w:rPr>
      </w:pPr>
    </w:p>
    <w:p w:rsidR="00C317EB" w:rsidRPr="005F331D" w:rsidRDefault="00C317EB" w:rsidP="00C317EB">
      <w:pPr>
        <w:autoSpaceDE w:val="0"/>
        <w:autoSpaceDN w:val="0"/>
        <w:adjustRightInd w:val="0"/>
        <w:ind w:firstLine="900"/>
        <w:jc w:val="both"/>
        <w:rPr>
          <w:b/>
          <w:lang w:val="uk-UA"/>
        </w:rPr>
      </w:pPr>
      <w:r w:rsidRPr="005F331D">
        <w:rPr>
          <w:b/>
          <w:lang w:val="uk-UA"/>
        </w:rPr>
        <w:t xml:space="preserve">2.3. </w:t>
      </w:r>
      <w:r w:rsidRPr="00B85410">
        <w:rPr>
          <w:b/>
          <w:lang w:val="uk-UA"/>
        </w:rPr>
        <w:t>Індикатор доходу домогосподарств та його компоненти в  Обстеженні  доходів та умов життя в ЄС (EU-SILC)</w:t>
      </w:r>
    </w:p>
    <w:p w:rsidR="00C317EB" w:rsidRPr="005F331D" w:rsidRDefault="00C317EB" w:rsidP="00C317EB">
      <w:pPr>
        <w:ind w:firstLine="900"/>
        <w:jc w:val="both"/>
      </w:pPr>
      <w:r w:rsidRPr="005F331D">
        <w:t xml:space="preserve">Відповідно до завдань візиту була детально розглянута методологія розрахунку показника доходу домогосподарства в EU-SILC. Фахівцями </w:t>
      </w:r>
      <w:r w:rsidRPr="00B85410">
        <w:rPr>
          <w:lang w:val="uk-UA"/>
        </w:rPr>
        <w:t>СЛ</w:t>
      </w:r>
      <w:r w:rsidRPr="005F331D">
        <w:t xml:space="preserve"> було надане  Методологічне Керівництво EU-SILC (2014), офіційно рекомендоване Євростатом, в якому, зокрема, міститься опис складових зазначеного показника. В ході обговорень були ознайомлені з досвідом </w:t>
      </w:r>
      <w:r w:rsidRPr="00B85410">
        <w:rPr>
          <w:lang w:val="uk-UA"/>
        </w:rPr>
        <w:t>СЛ</w:t>
      </w:r>
      <w:r w:rsidRPr="005F331D">
        <w:t xml:space="preserve"> щодо застосування різних джерел (у т.ч. адміністративних баз даних та даних регістрів) для розрахунку цього показника у рамках обстеження EU-SILC,</w:t>
      </w:r>
      <w:r w:rsidRPr="00B85410">
        <w:rPr>
          <w:lang w:val="uk-UA"/>
        </w:rPr>
        <w:t xml:space="preserve"> </w:t>
      </w:r>
      <w:r w:rsidRPr="005F331D">
        <w:t>а також з окремими методологічними аспектами та особливостями формування певних складових доходу домогосподарства.</w:t>
      </w:r>
      <w:r w:rsidRPr="00B85410">
        <w:t xml:space="preserve"> </w:t>
      </w:r>
      <w:r w:rsidRPr="005F331D">
        <w:rPr>
          <w:lang w:val="uk-UA"/>
        </w:rPr>
        <w:t>Зокрема, і</w:t>
      </w:r>
      <w:r w:rsidRPr="005F331D">
        <w:t xml:space="preserve">нформація щодо розмірів отриманої респондентами заробітної плати отримується як безпосередньо під час індивідуального опитування, так і із адміністративних джерел – даних податкової інспекції. Далі ця інформація порівнюється із тією, яку повідомив безпосередньо респондент і приймається рішення щодо того, який показник використовувати для розрахунку показника доходу. Відповідно до програми обстеження у ході опитування збирається інформація щодо того, чи отримував </w:t>
      </w:r>
      <w:r w:rsidRPr="005F331D">
        <w:lastRenderedPageBreak/>
        <w:t>респондент пенсії та соціальні виплати, а також які саме їх види він отримував. А з баз даних Мінсоцзабезпечення, Фонду соціального страхування та Біржі зайнятості через індивідуальний номер громадянина вже отримуються дані про розмір отриманих виплат. З усіма організаціями, від яких отримуються дані,</w:t>
      </w:r>
      <w:r w:rsidRPr="005F331D">
        <w:rPr>
          <w:lang w:val="uk-UA"/>
        </w:rPr>
        <w:t xml:space="preserve"> СЛ</w:t>
      </w:r>
      <w:r w:rsidRPr="005F331D">
        <w:t xml:space="preserve"> співпрацює на умовах договірних відносин. </w:t>
      </w:r>
    </w:p>
    <w:p w:rsidR="00C317EB" w:rsidRPr="005F331D" w:rsidRDefault="00C317EB" w:rsidP="00C317EB">
      <w:pPr>
        <w:ind w:firstLine="900"/>
        <w:jc w:val="both"/>
        <w:rPr>
          <w:lang w:val="uk-UA"/>
        </w:rPr>
      </w:pPr>
      <w:r w:rsidRPr="005F331D">
        <w:t>В ході розгляду та опрацювання алгоритму розрахунку показника доходу домогосподарства були визначені основні відмінності європейських та українських підходів, зокрема, у площині неврахування в країнах ЄС при розрахунках показників наявних доходів, бідності та диференціації таких складових, як нерегулярні грошові надходження, вартість спожитої продукції, що надійшла з особистого підсобного господарства, та вартість пільг та субсидій (крім житлової) отриманих у натуральному виразі, а</w:t>
      </w:r>
      <w:r w:rsidRPr="00B85410">
        <w:rPr>
          <w:lang w:val="uk-UA"/>
        </w:rPr>
        <w:t xml:space="preserve"> також окреме виділення та</w:t>
      </w:r>
      <w:r w:rsidRPr="005F331D">
        <w:t xml:space="preserve"> врахування вартості користування членом домогосподарства службовим автомобілем у власних цілях. Працівники </w:t>
      </w:r>
      <w:r w:rsidRPr="00B85410">
        <w:rPr>
          <w:lang w:val="uk-UA"/>
        </w:rPr>
        <w:t xml:space="preserve">ДССУ </w:t>
      </w:r>
      <w:r w:rsidRPr="005F331D">
        <w:t xml:space="preserve">були ознайомлені з методологічними підходами, які застосовуються у </w:t>
      </w:r>
      <w:r w:rsidRPr="00B85410">
        <w:rPr>
          <w:lang w:val="uk-UA"/>
        </w:rPr>
        <w:t>СЛ</w:t>
      </w:r>
      <w:r w:rsidRPr="005F331D">
        <w:t xml:space="preserve"> для визначення оцінки вартості користування службовим автомобілем у власних цілях.</w:t>
      </w:r>
      <w:r w:rsidRPr="00B85410">
        <w:t xml:space="preserve"> Для вивчення цього питання збирається інформація щодо марки автомобіля, обсягу двигуна, року випуску та кількості місяців,</w:t>
      </w:r>
      <w:r w:rsidRPr="005F331D">
        <w:t xml:space="preserve"> протягом яких респондент користувався службовим автомобілем у власних цілях. За цими даними </w:t>
      </w:r>
      <w:r w:rsidRPr="005F331D">
        <w:rPr>
          <w:lang w:val="uk-UA"/>
        </w:rPr>
        <w:t>оцінюється</w:t>
      </w:r>
      <w:r w:rsidRPr="005F331D">
        <w:t xml:space="preserve"> вартість продажу подібних автомобілів і це значення</w:t>
      </w:r>
      <w:r w:rsidRPr="005F331D">
        <w:rPr>
          <w:lang w:val="uk-UA"/>
        </w:rPr>
        <w:t xml:space="preserve">, відкориговане </w:t>
      </w:r>
      <w:r w:rsidRPr="005F331D">
        <w:t xml:space="preserve"> </w:t>
      </w:r>
      <w:r w:rsidRPr="005F331D">
        <w:rPr>
          <w:lang w:val="uk-UA"/>
        </w:rPr>
        <w:t xml:space="preserve">відповідно до терміну користування </w:t>
      </w:r>
      <w:r w:rsidRPr="005F331D">
        <w:t>імпутується до показника доходу домогосподарства.</w:t>
      </w:r>
    </w:p>
    <w:p w:rsidR="00C317EB" w:rsidRPr="005F331D" w:rsidRDefault="00C317EB" w:rsidP="00C317EB">
      <w:pPr>
        <w:ind w:firstLine="900"/>
        <w:jc w:val="both"/>
        <w:rPr>
          <w:lang w:val="uk-UA"/>
        </w:rPr>
      </w:pPr>
    </w:p>
    <w:p w:rsidR="00C317EB" w:rsidRPr="005F331D" w:rsidRDefault="00C317EB" w:rsidP="00C317EB">
      <w:pPr>
        <w:autoSpaceDE w:val="0"/>
        <w:autoSpaceDN w:val="0"/>
        <w:adjustRightInd w:val="0"/>
        <w:ind w:firstLine="900"/>
        <w:jc w:val="both"/>
        <w:rPr>
          <w:b/>
          <w:lang w:val="uk-UA"/>
        </w:rPr>
      </w:pPr>
      <w:r w:rsidRPr="00B85410">
        <w:rPr>
          <w:b/>
          <w:lang w:val="uk-UA"/>
        </w:rPr>
        <w:t xml:space="preserve">2.4. </w:t>
      </w:r>
      <w:r w:rsidRPr="005F331D">
        <w:rPr>
          <w:b/>
          <w:lang w:val="uk-UA"/>
        </w:rPr>
        <w:t xml:space="preserve">Обчислення </w:t>
      </w:r>
      <w:proofErr w:type="spellStart"/>
      <w:r w:rsidRPr="005F331D">
        <w:rPr>
          <w:b/>
          <w:lang w:val="uk-UA"/>
        </w:rPr>
        <w:t>імпутованої</w:t>
      </w:r>
      <w:proofErr w:type="spellEnd"/>
      <w:r w:rsidRPr="005F331D">
        <w:rPr>
          <w:b/>
          <w:lang w:val="uk-UA"/>
        </w:rPr>
        <w:t xml:space="preserve"> ренти, які проводить Статистика Литви </w:t>
      </w:r>
    </w:p>
    <w:p w:rsidR="00C317EB" w:rsidRPr="005F331D" w:rsidRDefault="00C317EB" w:rsidP="00C317EB">
      <w:pPr>
        <w:ind w:firstLine="900"/>
        <w:jc w:val="both"/>
      </w:pPr>
      <w:r w:rsidRPr="005F331D">
        <w:t>Крім того, було розглянуто питання методології та джерел інформації для розрахунку показника імпутованої ренти, як одного</w:t>
      </w:r>
      <w:r w:rsidRPr="00B85410">
        <w:rPr>
          <w:sz w:val="28"/>
          <w:szCs w:val="28"/>
        </w:rPr>
        <w:t xml:space="preserve"> </w:t>
      </w:r>
      <w:r w:rsidRPr="005F331D">
        <w:t xml:space="preserve">із показників, обов’язкових для </w:t>
      </w:r>
      <w:r w:rsidRPr="00B85410">
        <w:rPr>
          <w:lang w:val="uk-UA"/>
        </w:rPr>
        <w:t xml:space="preserve">подання </w:t>
      </w:r>
      <w:proofErr w:type="spellStart"/>
      <w:r w:rsidRPr="00B85410">
        <w:rPr>
          <w:lang w:val="uk-UA"/>
        </w:rPr>
        <w:t>Євростату</w:t>
      </w:r>
      <w:proofErr w:type="spellEnd"/>
      <w:r w:rsidRPr="00B85410">
        <w:rPr>
          <w:lang w:val="uk-UA"/>
        </w:rPr>
        <w:t xml:space="preserve"> </w:t>
      </w:r>
      <w:r w:rsidRPr="005F331D">
        <w:t>країн</w:t>
      </w:r>
      <w:proofErr w:type="spellStart"/>
      <w:r w:rsidRPr="00B85410">
        <w:rPr>
          <w:lang w:val="uk-UA"/>
        </w:rPr>
        <w:t>ами</w:t>
      </w:r>
      <w:proofErr w:type="spellEnd"/>
      <w:r w:rsidRPr="005F331D">
        <w:t xml:space="preserve"> ЄС. У </w:t>
      </w:r>
      <w:r w:rsidRPr="00B85410">
        <w:rPr>
          <w:lang w:val="uk-UA"/>
        </w:rPr>
        <w:t>СЛ</w:t>
      </w:r>
      <w:r w:rsidRPr="005F331D">
        <w:t xml:space="preserve"> для його розрахунку використовується метод лог-лінійної регресії з використанням інформації статистики цін про вартість оренди залежно від площі орендованого житла та даних обстеження EU-SILC стосовно суб’єктивної орендної плати, що також є одним із показників, які країни-члені ЄС надають Євростату.</w:t>
      </w:r>
    </w:p>
    <w:p w:rsidR="00C317EB" w:rsidRPr="005F331D" w:rsidRDefault="00C317EB" w:rsidP="00C317EB">
      <w:pPr>
        <w:ind w:firstLine="900"/>
        <w:jc w:val="both"/>
        <w:rPr>
          <w:sz w:val="16"/>
          <w:szCs w:val="16"/>
          <w:lang w:val="uk-UA"/>
        </w:rPr>
      </w:pPr>
      <w:r w:rsidRPr="005F331D">
        <w:t xml:space="preserve"> </w:t>
      </w:r>
    </w:p>
    <w:p w:rsidR="00C317EB" w:rsidRPr="00B85410" w:rsidRDefault="00C317EB" w:rsidP="00C317EB">
      <w:pPr>
        <w:ind w:firstLine="900"/>
        <w:jc w:val="both"/>
        <w:rPr>
          <w:lang w:val="uk-UA"/>
        </w:rPr>
      </w:pPr>
      <w:r w:rsidRPr="005F331D">
        <w:rPr>
          <w:b/>
          <w:lang w:val="uk-UA"/>
        </w:rPr>
        <w:t xml:space="preserve"> </w:t>
      </w:r>
      <w:r w:rsidRPr="00B85410">
        <w:rPr>
          <w:b/>
          <w:lang w:val="uk-UA"/>
        </w:rPr>
        <w:t xml:space="preserve">2.5. </w:t>
      </w:r>
      <w:r w:rsidRPr="005F331D">
        <w:rPr>
          <w:rStyle w:val="a5"/>
          <w:b/>
          <w:noProof/>
          <w:color w:val="auto"/>
          <w:u w:val="none"/>
          <w:lang w:val="uk-UA"/>
        </w:rPr>
        <w:t>Р</w:t>
      </w:r>
      <w:r w:rsidRPr="005F331D">
        <w:rPr>
          <w:rStyle w:val="a5"/>
          <w:b/>
          <w:color w:val="auto"/>
          <w:u w:val="none"/>
        </w:rPr>
        <w:t>озрахунок індикаторів ризику бідності та соціального виключення за результатами Обстеженн</w:t>
      </w:r>
      <w:r w:rsidRPr="005F331D">
        <w:rPr>
          <w:rStyle w:val="a5"/>
          <w:b/>
          <w:color w:val="auto"/>
          <w:u w:val="none"/>
          <w:lang w:val="uk-UA"/>
        </w:rPr>
        <w:t>я</w:t>
      </w:r>
      <w:r w:rsidRPr="005F331D">
        <w:rPr>
          <w:rStyle w:val="a5"/>
          <w:b/>
          <w:color w:val="auto"/>
          <w:u w:val="none"/>
        </w:rPr>
        <w:t xml:space="preserve">  доходів та умов життя в ЄС (EU-SILC</w:t>
      </w:r>
      <w:r w:rsidRPr="00B85410">
        <w:rPr>
          <w:lang w:val="uk-UA"/>
        </w:rPr>
        <w:t>)</w:t>
      </w:r>
    </w:p>
    <w:p w:rsidR="00C317EB" w:rsidRPr="005F331D" w:rsidRDefault="00C317EB" w:rsidP="00C317EB">
      <w:pPr>
        <w:ind w:firstLine="900"/>
        <w:jc w:val="both"/>
      </w:pPr>
      <w:r w:rsidRPr="005F331D">
        <w:t>Також в ході візиту була розглянута методологія розрахунку показників ризиків бідності та соціальної ізоляції, що розраховується країн</w:t>
      </w:r>
      <w:proofErr w:type="spellStart"/>
      <w:r w:rsidRPr="00B85410">
        <w:rPr>
          <w:lang w:val="uk-UA"/>
        </w:rPr>
        <w:t>ами</w:t>
      </w:r>
      <w:proofErr w:type="spellEnd"/>
      <w:r w:rsidRPr="005F331D">
        <w:t xml:space="preserve"> ЄС. Показник соціальної ізоляції визначається на підставі кількості осіб, які одночасно мають: глибоку депривацію (особа має 4 і більше із 9 ознак депривації); ризик бідності; низьку інтенсивність праці. </w:t>
      </w:r>
    </w:p>
    <w:p w:rsidR="00C317EB" w:rsidRPr="005F331D" w:rsidRDefault="00C317EB" w:rsidP="00C317EB">
      <w:pPr>
        <w:ind w:firstLine="900"/>
        <w:jc w:val="both"/>
      </w:pPr>
      <w:r w:rsidRPr="005F331D">
        <w:t>Для визначення показника депривації визначається кількість депривацій, які має особа. Особа вважається бідною за деприваціями, якщо їй притаманні 3 із 9 деприваційних ознак: 1) заборгованість із виплати іпотечного кредиту або орендних платежів, рахунків за комунальні платежі, платежів за придбання в розстрочку або інших платежів по кредиту; 2) здатність дозволити собі сплатити тижневу щорічну відпустку далеко від дому; 3) здатність дозволити собі їжу з м’ясом, куркою, рибою (або вегетеріанський еквівалент) кожен другий день; 4) здатність сплачувати неочікувані фінансові витрати [встановлена сума, що відповідає місячному національному порогу бідності за попередній рік]; 5) нездатність домашнього господарства дозволити собі мати телефон (у тому числі мобільний); 6) нездатність домашнього господарства дозволити собі мати кольоровий телевізор; 7) нездатність домашнього господарства дозволити собі мати пральну машину; 8) нездатність домашнього господарства дозволити собі мати автомобіль, та 9) нездатність домашнього господарства сплачувати за підтримання належної температури в будинку.</w:t>
      </w:r>
    </w:p>
    <w:p w:rsidR="00C317EB" w:rsidRPr="005F331D" w:rsidRDefault="00C317EB" w:rsidP="00C317EB">
      <w:pPr>
        <w:ind w:firstLine="900"/>
        <w:jc w:val="both"/>
        <w:rPr>
          <w:lang w:val="uk-UA"/>
        </w:rPr>
      </w:pPr>
      <w:r w:rsidRPr="005F331D">
        <w:lastRenderedPageBreak/>
        <w:t>У даний час Євростатом здійснюється перегляд показників депривації (розробляються додаткові).</w:t>
      </w:r>
      <w:r w:rsidRPr="00B85410">
        <w:rPr>
          <w:lang w:val="uk-UA"/>
        </w:rPr>
        <w:t xml:space="preserve"> </w:t>
      </w:r>
    </w:p>
    <w:p w:rsidR="00C317EB" w:rsidRPr="005F331D" w:rsidRDefault="00C317EB" w:rsidP="00C317EB">
      <w:pPr>
        <w:ind w:firstLine="900"/>
        <w:jc w:val="both"/>
      </w:pPr>
      <w:r w:rsidRPr="005F331D">
        <w:t xml:space="preserve">У країнах ЄС ризик бідності розраховується з використанням в якості межі бідності 60% медіанного рівня еквівалентних середньодушових наявних доходів на місяць. Для розрахунку показника інтенсивності праці використовується інформація обстеження EU-SILC щодо зайнятості респондента (повна/часткова), відпрацьованих годин тощо. </w:t>
      </w:r>
    </w:p>
    <w:p w:rsidR="00C317EB" w:rsidRPr="005F331D" w:rsidRDefault="00C317EB" w:rsidP="00C317EB">
      <w:pPr>
        <w:ind w:firstLine="900"/>
        <w:jc w:val="both"/>
        <w:rPr>
          <w:sz w:val="16"/>
          <w:szCs w:val="16"/>
          <w:lang w:val="uk-UA"/>
        </w:rPr>
      </w:pPr>
    </w:p>
    <w:p w:rsidR="00C317EB" w:rsidRPr="00B85410" w:rsidRDefault="00C317EB" w:rsidP="00C317EB">
      <w:pPr>
        <w:ind w:firstLine="900"/>
        <w:jc w:val="both"/>
        <w:rPr>
          <w:lang w:val="uk-UA"/>
        </w:rPr>
      </w:pPr>
      <w:r w:rsidRPr="005F331D">
        <w:t>Також були розглянуті питання щодо підготовки</w:t>
      </w:r>
      <w:r w:rsidRPr="00B85410">
        <w:rPr>
          <w:lang w:val="uk-UA"/>
        </w:rPr>
        <w:t xml:space="preserve"> СЛ</w:t>
      </w:r>
      <w:r w:rsidRPr="005F331D">
        <w:t xml:space="preserve"> звітів з якості даних </w:t>
      </w:r>
      <w:r w:rsidRPr="00B85410">
        <w:rPr>
          <w:lang w:val="uk-UA"/>
        </w:rPr>
        <w:t>О</w:t>
      </w:r>
      <w:r w:rsidRPr="005F331D">
        <w:t>бстеження доходів та умов життя в ЄС (EU-SILC), метаданих відповідно до стандартів ЄС, а також фахівцями відділу статистики рівня життя та зайнятості була презентована програма перевірки даних EU-SILC, реалізована у програмному забезпеченні SAS.</w:t>
      </w:r>
    </w:p>
    <w:p w:rsidR="00C317EB" w:rsidRPr="005F331D" w:rsidRDefault="00C317EB" w:rsidP="00C317EB">
      <w:pPr>
        <w:ind w:firstLine="900"/>
        <w:jc w:val="both"/>
        <w:rPr>
          <w:sz w:val="16"/>
          <w:szCs w:val="16"/>
          <w:lang w:val="uk-UA"/>
        </w:rPr>
      </w:pPr>
    </w:p>
    <w:p w:rsidR="00C317EB" w:rsidRPr="00B85410" w:rsidRDefault="00C317EB" w:rsidP="00C317EB">
      <w:pPr>
        <w:ind w:firstLine="900"/>
        <w:jc w:val="both"/>
        <w:rPr>
          <w:lang w:val="uk-UA"/>
        </w:rPr>
      </w:pPr>
      <w:r w:rsidRPr="005F331D">
        <w:t xml:space="preserve">Були обговорені можливі зміни у методології розрахунків показника доходу та матеріальної депривації (позбавлень) домогосподарств за результатами українського обстеження умов життя домогосподарств для їхньої гармонізації з вимогами ЄС. Враховуючу наявну нормативну базу у сфері питань подолання бідності, а також суспільну вагомість питань оцінки бідності та соціальної ізоляції, </w:t>
      </w:r>
      <w:r w:rsidRPr="00B85410">
        <w:rPr>
          <w:lang w:val="uk-UA"/>
        </w:rPr>
        <w:t xml:space="preserve">було визначено доцільним </w:t>
      </w:r>
      <w:r w:rsidRPr="005F331D">
        <w:rPr>
          <w:lang w:val="uk-UA"/>
        </w:rPr>
        <w:t xml:space="preserve">для ДССУ </w:t>
      </w:r>
      <w:r w:rsidRPr="005F331D">
        <w:t>обговорити майбутні зміни з усіма організаціями, залученими до моніторингу бідності в Україні.</w:t>
      </w:r>
    </w:p>
    <w:p w:rsidR="00C317EB" w:rsidRPr="005F331D" w:rsidRDefault="00C317EB" w:rsidP="00C317EB">
      <w:pPr>
        <w:pStyle w:val="1"/>
        <w:rPr>
          <w:sz w:val="28"/>
          <w:szCs w:val="28"/>
          <w:lang w:val="uk-UA"/>
        </w:rPr>
      </w:pPr>
      <w:bookmarkStart w:id="5" w:name="_Toc373744037"/>
      <w:r w:rsidRPr="005F331D">
        <w:rPr>
          <w:sz w:val="28"/>
          <w:szCs w:val="28"/>
        </w:rPr>
        <w:t xml:space="preserve">3. </w:t>
      </w:r>
      <w:bookmarkEnd w:id="5"/>
      <w:r w:rsidRPr="005F331D">
        <w:rPr>
          <w:sz w:val="28"/>
          <w:szCs w:val="28"/>
          <w:lang w:val="uk-UA"/>
        </w:rPr>
        <w:t xml:space="preserve">Висновки та пропозиції </w:t>
      </w:r>
    </w:p>
    <w:p w:rsidR="00C317EB" w:rsidRPr="005F331D" w:rsidRDefault="00C317EB" w:rsidP="00C317EB">
      <w:pPr>
        <w:autoSpaceDE w:val="0"/>
        <w:autoSpaceDN w:val="0"/>
        <w:adjustRightInd w:val="0"/>
        <w:ind w:firstLine="709"/>
        <w:jc w:val="both"/>
      </w:pPr>
      <w:r w:rsidRPr="005F331D">
        <w:t>За програмою навчального візиту фахівцями С</w:t>
      </w:r>
      <w:r w:rsidRPr="00B85410">
        <w:rPr>
          <w:lang w:val="uk-UA"/>
        </w:rPr>
        <w:t>Л</w:t>
      </w:r>
      <w:r w:rsidRPr="005F331D">
        <w:t xml:space="preserve"> було представлено детальні та</w:t>
      </w:r>
      <w:r w:rsidRPr="00B85410">
        <w:rPr>
          <w:lang w:val="uk-UA"/>
        </w:rPr>
        <w:t xml:space="preserve"> </w:t>
      </w:r>
      <w:r w:rsidRPr="005F331D">
        <w:t xml:space="preserve">вичерпні презентації. </w:t>
      </w:r>
      <w:r w:rsidRPr="00B85410">
        <w:t>При підведенні підсумків навчального візиту представники С</w:t>
      </w:r>
      <w:r w:rsidRPr="005F331D">
        <w:rPr>
          <w:lang w:val="uk-UA"/>
        </w:rPr>
        <w:t>Л</w:t>
      </w:r>
      <w:r w:rsidRPr="005F331D">
        <w:t xml:space="preserve"> надали рекомендації щодо </w:t>
      </w:r>
      <w:r w:rsidRPr="005F331D">
        <w:rPr>
          <w:lang w:val="uk-UA"/>
        </w:rPr>
        <w:t xml:space="preserve">напрямів доопрацювання програми українського обстеження умов життя домогосподарств для поетапного впровадження підходів, регламентованих </w:t>
      </w:r>
      <w:proofErr w:type="spellStart"/>
      <w:r w:rsidRPr="005F331D">
        <w:rPr>
          <w:lang w:val="uk-UA"/>
        </w:rPr>
        <w:t>Євростатом</w:t>
      </w:r>
      <w:proofErr w:type="spellEnd"/>
      <w:r w:rsidRPr="005F331D">
        <w:rPr>
          <w:lang w:val="uk-UA"/>
        </w:rPr>
        <w:t xml:space="preserve"> для розрахунків </w:t>
      </w:r>
      <w:r w:rsidRPr="005F331D">
        <w:t>показників доходів, бідності та соціальної ізоляції</w:t>
      </w:r>
      <w:r w:rsidRPr="005F331D">
        <w:rPr>
          <w:lang w:val="uk-UA"/>
        </w:rPr>
        <w:t xml:space="preserve">. </w:t>
      </w:r>
      <w:r w:rsidRPr="005F331D">
        <w:t xml:space="preserve">Досвід, набутий під час </w:t>
      </w:r>
      <w:r w:rsidRPr="00B85410">
        <w:rPr>
          <w:lang w:val="uk-UA"/>
        </w:rPr>
        <w:t>навчального</w:t>
      </w:r>
      <w:r w:rsidRPr="005F331D">
        <w:t xml:space="preserve"> візиту, дав можливість</w:t>
      </w:r>
      <w:r w:rsidRPr="00B85410">
        <w:rPr>
          <w:lang w:val="uk-UA"/>
        </w:rPr>
        <w:t xml:space="preserve"> учасникам д</w:t>
      </w:r>
      <w:r w:rsidRPr="005F331D">
        <w:rPr>
          <w:lang w:val="uk-UA"/>
        </w:rPr>
        <w:t>елегації ДССУ</w:t>
      </w:r>
      <w:r w:rsidRPr="005F331D">
        <w:t>:</w:t>
      </w:r>
    </w:p>
    <w:p w:rsidR="00C317EB" w:rsidRPr="005F331D" w:rsidRDefault="00C317EB" w:rsidP="00C317E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F331D">
        <w:t>Ознайомитися для можливого застосування в подальшому з новітніми напрямами вдосконалення організації збирання даних в ході вибіркових опитувань населення із застосуванням сучасних інформаційних технологій.</w:t>
      </w:r>
    </w:p>
    <w:p w:rsidR="00C317EB" w:rsidRPr="005F331D" w:rsidRDefault="00C317EB" w:rsidP="00C317E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F331D">
        <w:t>Ознайомитися з методологією вимірювання показників доходів, бідності та соціальної ізоляції, що застосовується у країнах ЄС, а також з методиками визначення імпутованої ренти.</w:t>
      </w:r>
    </w:p>
    <w:p w:rsidR="00C317EB" w:rsidRPr="005F331D" w:rsidRDefault="00C317EB" w:rsidP="00C317E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F331D">
        <w:t>Визначити для гармонізації вибіркового обстеження умов життя домогосподарств, яке проводиться в Україні, з європейським обстеженням EU-SILC, напрями внесення змін до методології розрахунку показника доходу та до програми опитування  домогосподарств (як в частині складових доходу, так і щодо переліку ознак позбавлення - депривацій)</w:t>
      </w:r>
      <w:r w:rsidRPr="00B85410">
        <w:rPr>
          <w:lang w:val="uk-UA"/>
        </w:rPr>
        <w:t>.</w:t>
      </w:r>
      <w:r w:rsidRPr="005F331D">
        <w:t xml:space="preserve"> </w:t>
      </w:r>
    </w:p>
    <w:p w:rsidR="00C317EB" w:rsidRPr="005F331D" w:rsidRDefault="00C317EB" w:rsidP="00C317EB">
      <w:pPr>
        <w:jc w:val="both"/>
        <w:rPr>
          <w:sz w:val="16"/>
          <w:szCs w:val="16"/>
          <w:lang w:val="ru-RU"/>
        </w:rPr>
      </w:pPr>
    </w:p>
    <w:p w:rsidR="00C317EB" w:rsidRPr="005F331D" w:rsidRDefault="00C317EB" w:rsidP="00C317EB">
      <w:pPr>
        <w:jc w:val="both"/>
        <w:rPr>
          <w:lang w:val="ru-RU"/>
        </w:rPr>
      </w:pPr>
      <w:proofErr w:type="spellStart"/>
      <w:r w:rsidRPr="005F331D">
        <w:rPr>
          <w:lang w:val="ru-RU"/>
        </w:rPr>
        <w:t>Наступна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зустріч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запланована</w:t>
      </w:r>
      <w:proofErr w:type="spellEnd"/>
      <w:r w:rsidRPr="005F331D">
        <w:rPr>
          <w:lang w:val="ru-RU"/>
        </w:rPr>
        <w:t xml:space="preserve"> на 3-5 </w:t>
      </w:r>
      <w:proofErr w:type="spellStart"/>
      <w:r w:rsidRPr="005F331D">
        <w:rPr>
          <w:lang w:val="ru-RU"/>
        </w:rPr>
        <w:t>червня</w:t>
      </w:r>
      <w:proofErr w:type="spellEnd"/>
      <w:r w:rsidRPr="005F331D">
        <w:rPr>
          <w:lang w:val="ru-RU"/>
        </w:rPr>
        <w:t xml:space="preserve"> у ДССУ у </w:t>
      </w:r>
      <w:proofErr w:type="spellStart"/>
      <w:r w:rsidRPr="005F331D">
        <w:rPr>
          <w:lang w:val="ru-RU"/>
        </w:rPr>
        <w:t>Киє</w:t>
      </w:r>
      <w:proofErr w:type="gramStart"/>
      <w:r w:rsidRPr="005F331D">
        <w:rPr>
          <w:lang w:val="ru-RU"/>
        </w:rPr>
        <w:t>в</w:t>
      </w:r>
      <w:proofErr w:type="gramEnd"/>
      <w:r w:rsidRPr="005F331D">
        <w:rPr>
          <w:lang w:val="ru-RU"/>
        </w:rPr>
        <w:t>і</w:t>
      </w:r>
      <w:proofErr w:type="spellEnd"/>
      <w:r w:rsidRPr="005F331D">
        <w:rPr>
          <w:lang w:val="ru-RU"/>
        </w:rPr>
        <w:t xml:space="preserve">. </w:t>
      </w:r>
    </w:p>
    <w:p w:rsidR="00C317EB" w:rsidRPr="005F331D" w:rsidRDefault="00C317EB" w:rsidP="00C317EB">
      <w:pPr>
        <w:ind w:firstLine="709"/>
        <w:jc w:val="both"/>
        <w:rPr>
          <w:sz w:val="16"/>
          <w:szCs w:val="16"/>
          <w:lang w:val="ru-RU"/>
        </w:rPr>
      </w:pPr>
    </w:p>
    <w:p w:rsidR="00C317EB" w:rsidRPr="005F331D" w:rsidRDefault="00C317EB" w:rsidP="00C317EB">
      <w:pPr>
        <w:ind w:firstLine="709"/>
        <w:jc w:val="both"/>
        <w:rPr>
          <w:lang w:val="ru-RU"/>
        </w:rPr>
      </w:pPr>
      <w:r w:rsidRPr="00B85410">
        <w:rPr>
          <w:lang w:val="ru-RU"/>
        </w:rPr>
        <w:t xml:space="preserve">Мета </w:t>
      </w:r>
      <w:proofErr w:type="spellStart"/>
      <w:r w:rsidRPr="00B85410">
        <w:rPr>
          <w:lang w:val="ru-RU"/>
        </w:rPr>
        <w:t>візиту</w:t>
      </w:r>
      <w:proofErr w:type="spellEnd"/>
      <w:r w:rsidRPr="00B85410">
        <w:rPr>
          <w:lang w:val="ru-RU"/>
        </w:rPr>
        <w:t xml:space="preserve"> </w:t>
      </w:r>
      <w:r w:rsidRPr="005F331D">
        <w:rPr>
          <w:lang w:val="ru-RU"/>
        </w:rPr>
        <w:t xml:space="preserve">- </w:t>
      </w:r>
      <w:proofErr w:type="spellStart"/>
      <w:r w:rsidRPr="005F331D">
        <w:rPr>
          <w:lang w:val="ru-RU"/>
        </w:rPr>
        <w:t>консультація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експертів</w:t>
      </w:r>
      <w:proofErr w:type="spellEnd"/>
      <w:proofErr w:type="gramStart"/>
      <w:r w:rsidRPr="005F331D">
        <w:rPr>
          <w:lang w:val="ru-RU"/>
        </w:rPr>
        <w:t xml:space="preserve"> ЄС</w:t>
      </w:r>
      <w:proofErr w:type="gram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щодо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методології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розрахунку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показника</w:t>
      </w:r>
      <w:proofErr w:type="spellEnd"/>
      <w:r w:rsidRPr="005F331D">
        <w:rPr>
          <w:lang w:val="ru-RU"/>
        </w:rPr>
        <w:t xml:space="preserve"> доходу </w:t>
      </w:r>
      <w:proofErr w:type="spellStart"/>
      <w:r w:rsidRPr="005F331D">
        <w:rPr>
          <w:lang w:val="ru-RU"/>
        </w:rPr>
        <w:t>домогосподарства</w:t>
      </w:r>
      <w:proofErr w:type="spellEnd"/>
      <w:r w:rsidRPr="005F331D">
        <w:rPr>
          <w:lang w:val="ru-RU"/>
        </w:rPr>
        <w:t xml:space="preserve">, а </w:t>
      </w:r>
      <w:proofErr w:type="spellStart"/>
      <w:r w:rsidRPr="005F331D">
        <w:rPr>
          <w:lang w:val="ru-RU"/>
        </w:rPr>
        <w:t>також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показників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матеріальної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депривації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відповідно</w:t>
      </w:r>
      <w:proofErr w:type="spellEnd"/>
      <w:r w:rsidRPr="005F331D">
        <w:rPr>
          <w:lang w:val="ru-RU"/>
        </w:rPr>
        <w:t xml:space="preserve"> до </w:t>
      </w:r>
      <w:proofErr w:type="spellStart"/>
      <w:r w:rsidRPr="005F331D">
        <w:rPr>
          <w:lang w:val="ru-RU"/>
        </w:rPr>
        <w:t>вимог</w:t>
      </w:r>
      <w:proofErr w:type="spellEnd"/>
      <w:r w:rsidRPr="005F331D">
        <w:rPr>
          <w:lang w:val="ru-RU"/>
        </w:rPr>
        <w:t xml:space="preserve"> ЄС, </w:t>
      </w:r>
      <w:proofErr w:type="spellStart"/>
      <w:r w:rsidRPr="005F331D">
        <w:rPr>
          <w:lang w:val="ru-RU"/>
        </w:rPr>
        <w:t>рекомендації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щодо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проведення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експериментальних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розрахунків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показників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наявного</w:t>
      </w:r>
      <w:proofErr w:type="spellEnd"/>
      <w:r w:rsidRPr="005F331D">
        <w:rPr>
          <w:lang w:val="ru-RU"/>
        </w:rPr>
        <w:t xml:space="preserve"> доходу та </w:t>
      </w:r>
      <w:proofErr w:type="spellStart"/>
      <w:r w:rsidRPr="005F331D">
        <w:rPr>
          <w:lang w:val="ru-RU"/>
        </w:rPr>
        <w:t>імпутованої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ренти</w:t>
      </w:r>
      <w:proofErr w:type="spellEnd"/>
      <w:r w:rsidRPr="005F331D">
        <w:rPr>
          <w:lang w:val="ru-RU"/>
        </w:rPr>
        <w:t xml:space="preserve">, </w:t>
      </w:r>
      <w:proofErr w:type="spellStart"/>
      <w:r w:rsidRPr="005F331D">
        <w:rPr>
          <w:lang w:val="ru-RU"/>
        </w:rPr>
        <w:t>обговорення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питань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щодо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методологічних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особливостей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розрахунків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показників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матеріальної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депривації</w:t>
      </w:r>
      <w:proofErr w:type="spellEnd"/>
      <w:r w:rsidRPr="005F331D">
        <w:rPr>
          <w:lang w:val="ru-RU"/>
        </w:rPr>
        <w:t xml:space="preserve"> з </w:t>
      </w:r>
      <w:proofErr w:type="spellStart"/>
      <w:r w:rsidRPr="005F331D">
        <w:rPr>
          <w:lang w:val="ru-RU"/>
        </w:rPr>
        <w:t>урахуванням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європейського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досвіду</w:t>
      </w:r>
      <w:proofErr w:type="spellEnd"/>
      <w:r w:rsidRPr="005F331D">
        <w:rPr>
          <w:lang w:val="ru-RU"/>
        </w:rPr>
        <w:t xml:space="preserve"> та потреб </w:t>
      </w:r>
      <w:proofErr w:type="spellStart"/>
      <w:r w:rsidRPr="005F331D">
        <w:rPr>
          <w:lang w:val="ru-RU"/>
        </w:rPr>
        <w:t>моніторингу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бідності</w:t>
      </w:r>
      <w:proofErr w:type="spellEnd"/>
      <w:r w:rsidRPr="005F331D">
        <w:rPr>
          <w:lang w:val="ru-RU"/>
        </w:rPr>
        <w:t xml:space="preserve"> в </w:t>
      </w:r>
      <w:proofErr w:type="spellStart"/>
      <w:r w:rsidRPr="005F331D">
        <w:rPr>
          <w:lang w:val="ru-RU"/>
        </w:rPr>
        <w:t>Україні</w:t>
      </w:r>
      <w:proofErr w:type="spellEnd"/>
      <w:r w:rsidRPr="005F331D">
        <w:rPr>
          <w:lang w:val="ru-RU"/>
        </w:rPr>
        <w:t>.</w:t>
      </w:r>
    </w:p>
    <w:p w:rsidR="00C317EB" w:rsidRPr="005F331D" w:rsidRDefault="00C317EB" w:rsidP="00C317EB">
      <w:pPr>
        <w:pStyle w:val="1"/>
        <w:rPr>
          <w:sz w:val="28"/>
          <w:szCs w:val="28"/>
          <w:lang w:val="uk-UA"/>
        </w:rPr>
      </w:pPr>
      <w:bookmarkStart w:id="6" w:name="_Toc108414600"/>
      <w:bookmarkStart w:id="7" w:name="_Toc373744038"/>
      <w:r w:rsidRPr="00B85410">
        <w:br w:type="page"/>
      </w:r>
      <w:r w:rsidRPr="00B85410">
        <w:rPr>
          <w:sz w:val="28"/>
          <w:szCs w:val="28"/>
          <w:lang w:val="uk-UA"/>
        </w:rPr>
        <w:lastRenderedPageBreak/>
        <w:t>Додат</w:t>
      </w:r>
      <w:r w:rsidRPr="005F331D">
        <w:rPr>
          <w:sz w:val="28"/>
          <w:szCs w:val="28"/>
          <w:lang w:val="uk-UA"/>
        </w:rPr>
        <w:t>ок</w:t>
      </w:r>
      <w:r w:rsidRPr="005F331D">
        <w:rPr>
          <w:sz w:val="28"/>
          <w:szCs w:val="28"/>
        </w:rPr>
        <w:t xml:space="preserve"> </w:t>
      </w:r>
      <w:r w:rsidRPr="005F331D">
        <w:rPr>
          <w:sz w:val="28"/>
          <w:szCs w:val="28"/>
          <w:lang w:val="uk-UA"/>
        </w:rPr>
        <w:t>1</w:t>
      </w:r>
      <w:r w:rsidRPr="005F331D">
        <w:rPr>
          <w:sz w:val="28"/>
          <w:szCs w:val="28"/>
        </w:rPr>
        <w:t xml:space="preserve">. </w:t>
      </w:r>
      <w:r w:rsidRPr="005F331D">
        <w:rPr>
          <w:sz w:val="28"/>
          <w:szCs w:val="28"/>
          <w:lang w:val="uk-UA"/>
        </w:rPr>
        <w:t>Технічне завдання навчального візиту</w:t>
      </w:r>
    </w:p>
    <w:p w:rsidR="00C317EB" w:rsidRPr="005F331D" w:rsidRDefault="00C317EB" w:rsidP="00C317EB">
      <w:pPr>
        <w:spacing w:line="360" w:lineRule="exact"/>
        <w:ind w:left="-540" w:firstLine="540"/>
        <w:jc w:val="center"/>
        <w:rPr>
          <w:b/>
        </w:rPr>
      </w:pPr>
    </w:p>
    <w:p w:rsidR="00C317EB" w:rsidRPr="005F331D" w:rsidRDefault="00C317EB" w:rsidP="00C317EB">
      <w:pPr>
        <w:spacing w:line="336" w:lineRule="auto"/>
        <w:ind w:left="-540" w:right="278" w:firstLine="540"/>
        <w:jc w:val="center"/>
        <w:outlineLvl w:val="0"/>
        <w:rPr>
          <w:b/>
          <w:sz w:val="28"/>
          <w:szCs w:val="28"/>
        </w:rPr>
      </w:pPr>
      <w:r w:rsidRPr="005F331D">
        <w:rPr>
          <w:b/>
          <w:sz w:val="28"/>
          <w:szCs w:val="28"/>
        </w:rPr>
        <w:t>ТЕХНІЧНЕ ЗАВДАННЯ</w:t>
      </w:r>
    </w:p>
    <w:p w:rsidR="00C317EB" w:rsidRPr="005F331D" w:rsidRDefault="00C317EB" w:rsidP="00C317EB">
      <w:pPr>
        <w:spacing w:line="336" w:lineRule="auto"/>
        <w:ind w:right="278"/>
        <w:jc w:val="center"/>
        <w:rPr>
          <w:sz w:val="28"/>
          <w:szCs w:val="28"/>
        </w:rPr>
      </w:pPr>
      <w:r w:rsidRPr="005F331D">
        <w:rPr>
          <w:sz w:val="28"/>
          <w:szCs w:val="28"/>
        </w:rPr>
        <w:t>працівників</w:t>
      </w:r>
      <w:r w:rsidRPr="005F331D">
        <w:rPr>
          <w:sz w:val="28"/>
          <w:szCs w:val="28"/>
          <w:lang w:val="ru-RU"/>
        </w:rPr>
        <w:t> </w:t>
      </w:r>
      <w:r w:rsidRPr="005F331D">
        <w:rPr>
          <w:spacing w:val="-4"/>
          <w:sz w:val="28"/>
          <w:szCs w:val="28"/>
        </w:rPr>
        <w:t xml:space="preserve">департаменту обстежень домогосподарств </w:t>
      </w:r>
      <w:r w:rsidRPr="005F331D">
        <w:rPr>
          <w:spacing w:val="-4"/>
          <w:sz w:val="28"/>
          <w:szCs w:val="28"/>
        </w:rPr>
        <w:br/>
      </w:r>
      <w:r w:rsidRPr="005F331D">
        <w:rPr>
          <w:sz w:val="28"/>
          <w:szCs w:val="28"/>
        </w:rPr>
        <w:t xml:space="preserve">Державної служби статистики України для учбового візиту до </w:t>
      </w:r>
      <w:r w:rsidRPr="005F331D">
        <w:rPr>
          <w:sz w:val="28"/>
          <w:szCs w:val="28"/>
        </w:rPr>
        <w:br/>
        <w:t xml:space="preserve">Литовського статистичного департаменту </w:t>
      </w:r>
    </w:p>
    <w:p w:rsidR="00C317EB" w:rsidRPr="005F331D" w:rsidRDefault="00C317EB" w:rsidP="00C317EB">
      <w:pPr>
        <w:spacing w:line="336" w:lineRule="auto"/>
        <w:ind w:left="-540" w:right="278" w:firstLine="540"/>
        <w:jc w:val="center"/>
        <w:rPr>
          <w:sz w:val="28"/>
          <w:szCs w:val="28"/>
        </w:rPr>
      </w:pPr>
      <w:r w:rsidRPr="005F331D">
        <w:rPr>
          <w:sz w:val="28"/>
          <w:szCs w:val="28"/>
        </w:rPr>
        <w:t>(Вільнюс, Литовська Республіка, 8-10 квітня 2014 року)</w:t>
      </w:r>
    </w:p>
    <w:p w:rsidR="00C317EB" w:rsidRPr="005F331D" w:rsidRDefault="00C317EB" w:rsidP="00C317EB">
      <w:pPr>
        <w:spacing w:line="360" w:lineRule="auto"/>
        <w:ind w:left="-540" w:right="278" w:firstLine="540"/>
        <w:rPr>
          <w:sz w:val="16"/>
          <w:szCs w:val="16"/>
        </w:rPr>
      </w:pPr>
    </w:p>
    <w:p w:rsidR="00C317EB" w:rsidRPr="005F331D" w:rsidRDefault="00C317EB" w:rsidP="00C317EB">
      <w:pPr>
        <w:spacing w:line="336" w:lineRule="auto"/>
        <w:ind w:firstLine="720"/>
        <w:jc w:val="both"/>
        <w:rPr>
          <w:spacing w:val="2"/>
          <w:sz w:val="28"/>
          <w:szCs w:val="28"/>
        </w:rPr>
      </w:pPr>
      <w:r w:rsidRPr="005F331D">
        <w:rPr>
          <w:spacing w:val="2"/>
          <w:sz w:val="28"/>
          <w:szCs w:val="28"/>
        </w:rPr>
        <w:t xml:space="preserve">Участь працівників Державної служби статистики України в учбовому візиті до </w:t>
      </w:r>
      <w:r w:rsidRPr="005F331D">
        <w:rPr>
          <w:sz w:val="28"/>
          <w:szCs w:val="28"/>
        </w:rPr>
        <w:t xml:space="preserve">Литовського статистичного департаменту </w:t>
      </w:r>
      <w:r w:rsidRPr="005F331D">
        <w:rPr>
          <w:spacing w:val="2"/>
          <w:sz w:val="28"/>
          <w:szCs w:val="28"/>
        </w:rPr>
        <w:t xml:space="preserve">здійснюється у межах проекту EU-Twinning “Сприяння процесам удосконалення Державної служби статистики України з метою покращення її потенціалу та продукції” № 13/ENP/ST/38 та на запрошення </w:t>
      </w:r>
      <w:r w:rsidRPr="005F331D">
        <w:rPr>
          <w:sz w:val="28"/>
          <w:szCs w:val="28"/>
        </w:rPr>
        <w:t xml:space="preserve">Литовського статистичного департаменту </w:t>
      </w:r>
      <w:r w:rsidRPr="005F331D">
        <w:rPr>
          <w:spacing w:val="2"/>
          <w:sz w:val="28"/>
          <w:szCs w:val="28"/>
        </w:rPr>
        <w:t>від 25 лютого 2014 року № 3Д-219.</w:t>
      </w:r>
    </w:p>
    <w:p w:rsidR="00C317EB" w:rsidRPr="005F331D" w:rsidRDefault="00C317EB" w:rsidP="00C317EB">
      <w:pPr>
        <w:spacing w:line="336" w:lineRule="auto"/>
        <w:ind w:firstLine="720"/>
        <w:jc w:val="both"/>
        <w:rPr>
          <w:spacing w:val="2"/>
          <w:sz w:val="28"/>
          <w:szCs w:val="28"/>
        </w:rPr>
      </w:pPr>
      <w:r w:rsidRPr="005F331D">
        <w:rPr>
          <w:spacing w:val="2"/>
          <w:sz w:val="28"/>
          <w:szCs w:val="28"/>
        </w:rPr>
        <w:t xml:space="preserve">Головною метою учбового візиту є ознайомлення з досвідом Литовської Республіки з питань методології розрахунку за результатами вибіркового обстеження умов життя домогосподарств, яке проводиться в усіх країнах ЄС (далі – </w:t>
      </w:r>
      <w:r w:rsidRPr="005F331D">
        <w:rPr>
          <w:sz w:val="28"/>
          <w:szCs w:val="28"/>
        </w:rPr>
        <w:t>EU-SILC)</w:t>
      </w:r>
      <w:r w:rsidRPr="005F331D">
        <w:rPr>
          <w:spacing w:val="2"/>
          <w:sz w:val="28"/>
          <w:szCs w:val="28"/>
        </w:rPr>
        <w:t xml:space="preserve">, показників доходів домогосподарств (включаючи імпутовану ренту) та індикаторів матеріальної депривації (позбавлення). </w:t>
      </w:r>
    </w:p>
    <w:p w:rsidR="00C317EB" w:rsidRPr="005F331D" w:rsidRDefault="00C317EB" w:rsidP="00C317EB">
      <w:pPr>
        <w:spacing w:line="336" w:lineRule="auto"/>
        <w:ind w:firstLine="720"/>
        <w:jc w:val="both"/>
        <w:rPr>
          <w:spacing w:val="2"/>
          <w:sz w:val="28"/>
          <w:szCs w:val="28"/>
        </w:rPr>
      </w:pPr>
      <w:r w:rsidRPr="005F331D">
        <w:rPr>
          <w:sz w:val="28"/>
          <w:szCs w:val="28"/>
        </w:rPr>
        <w:t xml:space="preserve">Склад делегації Державної служби статистики України: Осипова Інна Ігорівна – директор департаменту обстежень домогосподарств, </w:t>
      </w:r>
      <w:r w:rsidRPr="005F331D">
        <w:rPr>
          <w:spacing w:val="-4"/>
          <w:sz w:val="28"/>
          <w:szCs w:val="28"/>
        </w:rPr>
        <w:t xml:space="preserve"> </w:t>
      </w:r>
      <w:r w:rsidRPr="005F331D">
        <w:rPr>
          <w:sz w:val="28"/>
          <w:szCs w:val="28"/>
        </w:rPr>
        <w:t xml:space="preserve">Пліско Ксенія Юріївна – </w:t>
      </w:r>
      <w:r w:rsidRPr="005F331D">
        <w:rPr>
          <w:spacing w:val="-4"/>
          <w:sz w:val="28"/>
          <w:szCs w:val="28"/>
        </w:rPr>
        <w:t>заступник директора департаменту обстежень домогосподарств–начальник відділу організаційно-методологічного забезпечення обстеження умов життя домогосподарств, Новиченко Марина Володимирівна – начальник відділу підготовки та поширення даних обстеження умов життя домогосподарств, Ямпольська Оксана Олександрівна – заступник начальника відділу підготовки та поширення даних обстеження умов життя домогосподарств</w:t>
      </w:r>
    </w:p>
    <w:p w:rsidR="00C317EB" w:rsidRPr="005F331D" w:rsidRDefault="00C317EB" w:rsidP="00C317EB">
      <w:pPr>
        <w:spacing w:line="336" w:lineRule="auto"/>
        <w:ind w:firstLine="720"/>
        <w:jc w:val="both"/>
        <w:rPr>
          <w:sz w:val="28"/>
          <w:szCs w:val="28"/>
        </w:rPr>
      </w:pPr>
      <w:r w:rsidRPr="005F331D">
        <w:rPr>
          <w:spacing w:val="2"/>
          <w:sz w:val="28"/>
          <w:szCs w:val="28"/>
        </w:rPr>
        <w:t>Під час службового відрядження працівникам Державної служби статистики України</w:t>
      </w:r>
      <w:r w:rsidRPr="005F331D">
        <w:rPr>
          <w:sz w:val="28"/>
          <w:szCs w:val="28"/>
        </w:rPr>
        <w:t xml:space="preserve"> керуватися Конституцією України, законами України </w:t>
      </w:r>
      <w:r w:rsidRPr="005F331D">
        <w:rPr>
          <w:sz w:val="28"/>
          <w:szCs w:val="28"/>
        </w:rPr>
        <w:lastRenderedPageBreak/>
        <w:t>"Про державну службу", "Про інформацію", Стратегією розвитку державної статистики на період до 2017 року та цим технічним завданням.</w:t>
      </w:r>
    </w:p>
    <w:p w:rsidR="00C317EB" w:rsidRPr="005F331D" w:rsidRDefault="00C317EB" w:rsidP="00C317EB">
      <w:pPr>
        <w:spacing w:line="336" w:lineRule="auto"/>
        <w:ind w:firstLine="720"/>
        <w:jc w:val="both"/>
        <w:rPr>
          <w:sz w:val="28"/>
          <w:szCs w:val="28"/>
        </w:rPr>
      </w:pPr>
      <w:r w:rsidRPr="005F331D">
        <w:rPr>
          <w:sz w:val="28"/>
          <w:szCs w:val="28"/>
        </w:rPr>
        <w:t>Під час учбового візиту:</w:t>
      </w:r>
    </w:p>
    <w:p w:rsidR="00C317EB" w:rsidRPr="005F331D" w:rsidRDefault="00C317EB" w:rsidP="00C317EB">
      <w:pPr>
        <w:spacing w:line="336" w:lineRule="auto"/>
        <w:jc w:val="both"/>
        <w:rPr>
          <w:sz w:val="28"/>
          <w:szCs w:val="28"/>
        </w:rPr>
      </w:pPr>
      <w:r w:rsidRPr="005F331D">
        <w:rPr>
          <w:sz w:val="28"/>
          <w:szCs w:val="28"/>
        </w:rPr>
        <w:t>1. Розглянути програму опитування та організації проведення обстеження EU-SILC у Литовській Республіці. Ознайомитися із практикою застосування автоматизованого електронного опитування населення (CAPI).</w:t>
      </w:r>
    </w:p>
    <w:p w:rsidR="00C317EB" w:rsidRPr="005F331D" w:rsidRDefault="00C317EB" w:rsidP="00C317EB">
      <w:pPr>
        <w:spacing w:line="336" w:lineRule="auto"/>
        <w:jc w:val="both"/>
        <w:rPr>
          <w:sz w:val="28"/>
          <w:szCs w:val="28"/>
        </w:rPr>
      </w:pPr>
      <w:r w:rsidRPr="005F331D">
        <w:rPr>
          <w:sz w:val="28"/>
          <w:szCs w:val="28"/>
        </w:rPr>
        <w:t>2. Обговорити з фахівцями Литовського статистичного департаменту методологію розрахунку показника доходу домогосподарства та його складових в EU-SILC. Ознайомитися з досвідом застосування різних джерел (у т.ч. адміністративних даних та даних регістрів) для розрахунку цього показника у рамках обстеження EU-SILC.</w:t>
      </w:r>
    </w:p>
    <w:p w:rsidR="00C317EB" w:rsidRPr="005F331D" w:rsidRDefault="00C317EB" w:rsidP="00C317EB">
      <w:pPr>
        <w:spacing w:line="33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F331D">
        <w:rPr>
          <w:sz w:val="28"/>
          <w:szCs w:val="28"/>
        </w:rPr>
        <w:t>3. Ознайомитися із методами розрахунку показників імпутованої ренти у Литовському статистичному департаменті.</w:t>
      </w:r>
      <w:r w:rsidRPr="005F331D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317EB" w:rsidRPr="005F331D" w:rsidRDefault="00C317EB" w:rsidP="00C317EB">
      <w:pPr>
        <w:spacing w:line="336" w:lineRule="auto"/>
        <w:jc w:val="both"/>
        <w:rPr>
          <w:sz w:val="28"/>
          <w:szCs w:val="28"/>
        </w:rPr>
      </w:pPr>
      <w:r w:rsidRPr="005F331D">
        <w:rPr>
          <w:sz w:val="28"/>
          <w:szCs w:val="28"/>
        </w:rPr>
        <w:t>4. Вивчити методологію розрахунку показників ризиків бідності та соціальної ізоляції за результатами  EU-SILC.</w:t>
      </w:r>
    </w:p>
    <w:p w:rsidR="00C317EB" w:rsidRPr="005F331D" w:rsidRDefault="00C317EB" w:rsidP="00C317EB">
      <w:pPr>
        <w:spacing w:line="336" w:lineRule="auto"/>
        <w:jc w:val="both"/>
        <w:rPr>
          <w:sz w:val="28"/>
          <w:szCs w:val="28"/>
        </w:rPr>
      </w:pPr>
      <w:r w:rsidRPr="005F331D">
        <w:rPr>
          <w:sz w:val="28"/>
          <w:szCs w:val="28"/>
        </w:rPr>
        <w:t xml:space="preserve">5. </w:t>
      </w:r>
      <w:r w:rsidRPr="005F331D">
        <w:rPr>
          <w:spacing w:val="-2"/>
          <w:sz w:val="28"/>
          <w:szCs w:val="28"/>
        </w:rPr>
        <w:t>Обговорити</w:t>
      </w:r>
      <w:r w:rsidRPr="005F331D">
        <w:rPr>
          <w:sz w:val="28"/>
          <w:szCs w:val="28"/>
        </w:rPr>
        <w:t xml:space="preserve"> зміни у методології розрахунків показників доходу та матеріальної депривації (позбавлень) домогосподарств за результатами українського обстеження умов життя домогосподарств для їхньої гармонізації з вимогами ЄС.</w:t>
      </w:r>
    </w:p>
    <w:p w:rsidR="00C317EB" w:rsidRPr="005F331D" w:rsidRDefault="00C317EB" w:rsidP="00C317EB">
      <w:pPr>
        <w:pStyle w:val="1"/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rPr>
          <w:lang w:val="uk-UA"/>
        </w:rPr>
      </w:pPr>
    </w:p>
    <w:p w:rsidR="00C317EB" w:rsidRPr="005F331D" w:rsidRDefault="00C317EB" w:rsidP="00C317EB">
      <w:pPr>
        <w:pStyle w:val="1"/>
        <w:rPr>
          <w:sz w:val="28"/>
          <w:szCs w:val="28"/>
          <w:lang w:val="uk-UA"/>
        </w:rPr>
      </w:pPr>
      <w:r w:rsidRPr="005F331D">
        <w:rPr>
          <w:sz w:val="28"/>
          <w:szCs w:val="28"/>
          <w:lang w:val="uk-UA"/>
        </w:rPr>
        <w:lastRenderedPageBreak/>
        <w:t>Додаток</w:t>
      </w:r>
      <w:r w:rsidRPr="005F331D">
        <w:rPr>
          <w:sz w:val="28"/>
          <w:szCs w:val="28"/>
        </w:rPr>
        <w:t xml:space="preserve"> </w:t>
      </w:r>
      <w:r w:rsidRPr="00B85410">
        <w:rPr>
          <w:sz w:val="28"/>
          <w:szCs w:val="28"/>
          <w:lang w:val="uk-UA"/>
        </w:rPr>
        <w:t>2</w:t>
      </w:r>
      <w:r w:rsidRPr="005F331D">
        <w:rPr>
          <w:sz w:val="28"/>
          <w:szCs w:val="28"/>
        </w:rPr>
        <w:t xml:space="preserve">. </w:t>
      </w:r>
      <w:bookmarkEnd w:id="6"/>
      <w:bookmarkEnd w:id="7"/>
      <w:r w:rsidRPr="005F331D">
        <w:rPr>
          <w:sz w:val="28"/>
          <w:szCs w:val="28"/>
          <w:lang w:val="uk-UA"/>
        </w:rPr>
        <w:t>Програма навчального візиту</w:t>
      </w:r>
    </w:p>
    <w:p w:rsidR="00C317EB" w:rsidRPr="00B85410" w:rsidRDefault="00C317EB" w:rsidP="00C317EB">
      <w:pPr>
        <w:spacing w:before="120"/>
        <w:jc w:val="center"/>
        <w:rPr>
          <w:i/>
          <w:sz w:val="28"/>
          <w:szCs w:val="28"/>
          <w:lang w:val="uk-UA"/>
        </w:rPr>
      </w:pPr>
      <w:r w:rsidRPr="00B85410">
        <w:rPr>
          <w:i/>
          <w:sz w:val="28"/>
          <w:szCs w:val="28"/>
          <w:lang w:val="uk-UA"/>
        </w:rPr>
        <w:t>Навчальний візит</w:t>
      </w:r>
    </w:p>
    <w:p w:rsidR="00C317EB" w:rsidRPr="005F331D" w:rsidRDefault="00C317EB" w:rsidP="00C317EB">
      <w:pPr>
        <w:spacing w:before="120"/>
        <w:jc w:val="center"/>
        <w:rPr>
          <w:i/>
          <w:sz w:val="28"/>
          <w:szCs w:val="28"/>
          <w:lang w:val="uk-UA"/>
        </w:rPr>
      </w:pPr>
      <w:r w:rsidRPr="005F331D">
        <w:rPr>
          <w:i/>
          <w:sz w:val="28"/>
          <w:szCs w:val="28"/>
          <w:lang w:val="uk-UA"/>
        </w:rPr>
        <w:t xml:space="preserve">у рамках компоненту 12 Обстеження умов життя домогосподарств </w:t>
      </w:r>
    </w:p>
    <w:p w:rsidR="00C317EB" w:rsidRPr="005F331D" w:rsidRDefault="00C317EB" w:rsidP="00C317EB">
      <w:pPr>
        <w:spacing w:before="120"/>
        <w:jc w:val="center"/>
        <w:rPr>
          <w:i/>
          <w:sz w:val="28"/>
          <w:szCs w:val="28"/>
          <w:lang w:val="uk-UA"/>
        </w:rPr>
      </w:pPr>
      <w:r w:rsidRPr="005F331D">
        <w:rPr>
          <w:i/>
          <w:sz w:val="28"/>
          <w:szCs w:val="28"/>
          <w:lang w:val="uk-UA"/>
        </w:rPr>
        <w:t>8-10 квітня, 2014р., Вільнюс</w:t>
      </w:r>
    </w:p>
    <w:p w:rsidR="00C317EB" w:rsidRPr="005F331D" w:rsidRDefault="00C317EB" w:rsidP="00C317EB">
      <w:pPr>
        <w:spacing w:before="120" w:line="380" w:lineRule="atLeast"/>
        <w:jc w:val="center"/>
        <w:rPr>
          <w:b/>
          <w:i/>
          <w:lang w:val="uk-UA"/>
        </w:rPr>
      </w:pPr>
    </w:p>
    <w:p w:rsidR="00C317EB" w:rsidRPr="005F331D" w:rsidRDefault="00C317EB" w:rsidP="00C317E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uk-UA"/>
        </w:rPr>
      </w:pPr>
      <w:r w:rsidRPr="005F331D">
        <w:rPr>
          <w:b/>
          <w:bCs/>
          <w:sz w:val="22"/>
          <w:szCs w:val="22"/>
          <w:lang w:val="uk-UA"/>
        </w:rPr>
        <w:t>ПРОГРАМА</w:t>
      </w:r>
    </w:p>
    <w:p w:rsidR="00C317EB" w:rsidRPr="005F331D" w:rsidRDefault="00C317EB" w:rsidP="00C317EB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75"/>
      </w:tblGrid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jc w:val="center"/>
              <w:rPr>
                <w:lang w:val="uk-UA"/>
              </w:rPr>
            </w:pP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spacing w:before="60" w:after="60"/>
              <w:jc w:val="center"/>
              <w:rPr>
                <w:lang w:val="uk-UA"/>
              </w:rPr>
            </w:pPr>
            <w:r w:rsidRPr="005F331D">
              <w:rPr>
                <w:b/>
                <w:i/>
                <w:lang w:val="uk-UA"/>
              </w:rPr>
              <w:t>8 квітня 2014р.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9. 30 - 10.00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Вітальне слово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10.00 - 11.30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Статистична система Литовської Республіки.</w:t>
            </w:r>
          </w:p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 xml:space="preserve">Новий проект: збір даних про населення та домогосподарства через Інтернет 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i/>
                <w:lang w:val="uk-UA"/>
              </w:rPr>
            </w:pPr>
            <w:r w:rsidRPr="005F331D">
              <w:rPr>
                <w:lang w:val="uk-UA"/>
              </w:rPr>
              <w:t>11.30 - 11.45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i/>
                <w:iCs/>
                <w:lang w:val="uk-UA"/>
              </w:rPr>
              <w:t>Перерва на каву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11.45 – 12.30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Організація проведення обстеження «Статистика доходів та умов життя в ЄС (EU-SILC)» статистичною службою Литовської Республіки. Упровадження методики CAPI (проведення персонального інтерв’ю з використанням комп’ютерної системи) для збору даних.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i/>
                <w:iCs/>
                <w:lang w:val="uk-UA"/>
              </w:rPr>
            </w:pPr>
            <w:r w:rsidRPr="005F331D">
              <w:rPr>
                <w:lang w:val="uk-UA"/>
              </w:rPr>
              <w:t>12.30 –14.00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i/>
                <w:lang w:val="uk-UA"/>
              </w:rPr>
            </w:pPr>
            <w:r w:rsidRPr="005F331D">
              <w:rPr>
                <w:i/>
                <w:lang w:val="uk-UA"/>
              </w:rPr>
              <w:t>Обід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14.00 – 16.30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Індикатор доходу домогосподарств та його компоненти у обстеженні «Статистика доходів та умов життя в ЄС (</w:t>
            </w:r>
            <w:r w:rsidRPr="005F331D">
              <w:rPr>
                <w:lang w:val="en-GB"/>
              </w:rPr>
              <w:t>EU</w:t>
            </w:r>
            <w:r w:rsidRPr="005F331D">
              <w:rPr>
                <w:lang w:val="ru-RU"/>
              </w:rPr>
              <w:t>-</w:t>
            </w:r>
            <w:r w:rsidRPr="005F331D">
              <w:rPr>
                <w:lang w:val="en-GB"/>
              </w:rPr>
              <w:t>SILC</w:t>
            </w:r>
            <w:r w:rsidRPr="005F331D">
              <w:rPr>
                <w:lang w:val="uk-UA"/>
              </w:rPr>
              <w:t xml:space="preserve">)». </w:t>
            </w:r>
          </w:p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Дискусія щодо можливих змін у методології розрахунку доходів в українському обстеженні умов життя домогосподарств</w:t>
            </w:r>
          </w:p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Перерва на каву (</w:t>
            </w:r>
            <w:r w:rsidRPr="005F331D">
              <w:rPr>
                <w:i/>
                <w:iCs/>
                <w:lang w:val="uk-UA"/>
              </w:rPr>
              <w:t>15–20хв.)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16.30 – 17.00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b/>
                <w:bCs/>
                <w:lang w:val="uk-UA"/>
              </w:rPr>
              <w:t xml:space="preserve">Висновки </w:t>
            </w:r>
            <w:r w:rsidRPr="005F331D">
              <w:rPr>
                <w:lang w:val="uk-UA"/>
              </w:rPr>
              <w:t>(</w:t>
            </w:r>
            <w:r w:rsidRPr="005F331D">
              <w:rPr>
                <w:i/>
                <w:lang w:val="uk-UA"/>
              </w:rPr>
              <w:t>Запитання та коментарі</w:t>
            </w:r>
            <w:r w:rsidRPr="005F331D">
              <w:rPr>
                <w:lang w:val="uk-UA"/>
              </w:rPr>
              <w:t>)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spacing w:before="60" w:after="60"/>
              <w:jc w:val="center"/>
              <w:rPr>
                <w:b/>
                <w:i/>
                <w:lang w:val="uk-UA"/>
              </w:rPr>
            </w:pPr>
            <w:r w:rsidRPr="005F331D">
              <w:rPr>
                <w:b/>
                <w:i/>
                <w:lang w:val="uk-UA"/>
              </w:rPr>
              <w:t>9 квітня, 2014р.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9. 00 - 10.00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Литовська практика використання адміністративних джерел даних для встановлення змінних доходів EU-SILC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10.00 - 10.20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i/>
                <w:iCs/>
                <w:lang w:val="uk-UA"/>
              </w:rPr>
              <w:t>Перерва на каву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i/>
                <w:lang w:val="uk-UA"/>
              </w:rPr>
            </w:pPr>
            <w:r w:rsidRPr="005F331D">
              <w:rPr>
                <w:lang w:val="uk-UA"/>
              </w:rPr>
              <w:t>10.20 - 12.30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Розрахунок індикаторів ризику бідності та соціального виключення за результатами дослідження «Статистика доходів та умов життя в ЄС (EU-SILC)»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12.30 – 14.00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i/>
                <w:lang w:val="uk-UA"/>
              </w:rPr>
            </w:pPr>
            <w:r w:rsidRPr="005F331D">
              <w:rPr>
                <w:i/>
                <w:lang w:val="uk-UA"/>
              </w:rPr>
              <w:t>Обід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i/>
                <w:iCs/>
                <w:lang w:val="uk-UA"/>
              </w:rPr>
            </w:pPr>
            <w:r w:rsidRPr="005F331D">
              <w:rPr>
                <w:lang w:val="uk-UA"/>
              </w:rPr>
              <w:t>14.00 – 16.30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 xml:space="preserve">Обговорення можливих змін показників матеріальної деривації за результатами українського обстеження умов життя домогосподарств для їх подальшої гармонізації зі стандартами ЄС. </w:t>
            </w:r>
          </w:p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i/>
                <w:iCs/>
                <w:lang w:val="uk-UA"/>
              </w:rPr>
              <w:t xml:space="preserve">Перерва на каву 15–20хв. 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16.30 – 17.00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i/>
                <w:iCs/>
                <w:lang w:val="uk-UA"/>
              </w:rPr>
            </w:pPr>
            <w:r w:rsidRPr="005F331D">
              <w:rPr>
                <w:b/>
                <w:bCs/>
                <w:lang w:val="uk-UA"/>
              </w:rPr>
              <w:t xml:space="preserve">Висновки </w:t>
            </w:r>
            <w:r w:rsidRPr="005F331D">
              <w:rPr>
                <w:lang w:val="uk-UA"/>
              </w:rPr>
              <w:t>(</w:t>
            </w:r>
            <w:r w:rsidRPr="005F331D">
              <w:rPr>
                <w:i/>
                <w:lang w:val="uk-UA"/>
              </w:rPr>
              <w:t>Запитання та коментарі</w:t>
            </w:r>
            <w:r w:rsidRPr="005F331D">
              <w:rPr>
                <w:lang w:val="uk-UA"/>
              </w:rPr>
              <w:t>)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spacing w:before="60" w:after="60"/>
              <w:jc w:val="center"/>
              <w:rPr>
                <w:b/>
                <w:i/>
                <w:lang w:val="uk-UA"/>
              </w:rPr>
            </w:pPr>
            <w:r w:rsidRPr="005F331D">
              <w:rPr>
                <w:b/>
                <w:i/>
                <w:lang w:val="uk-UA"/>
              </w:rPr>
              <w:t>10 квітня, 2014р.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9. 00 - 10.00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 xml:space="preserve">Обчислення </w:t>
            </w:r>
            <w:proofErr w:type="spellStart"/>
            <w:r w:rsidRPr="005F331D">
              <w:rPr>
                <w:lang w:val="uk-UA"/>
              </w:rPr>
              <w:t>імпутованої</w:t>
            </w:r>
            <w:proofErr w:type="spellEnd"/>
            <w:r w:rsidRPr="005F331D">
              <w:rPr>
                <w:lang w:val="uk-UA"/>
              </w:rPr>
              <w:t xml:space="preserve"> ренти, які проводить статистична служба Литви</w:t>
            </w:r>
          </w:p>
          <w:p w:rsidR="00C317EB" w:rsidRPr="005F331D" w:rsidRDefault="00C317EB" w:rsidP="005F331D">
            <w:pPr>
              <w:rPr>
                <w:lang w:val="uk-UA"/>
              </w:rPr>
            </w:pP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10.00 - 10.20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i/>
                <w:iCs/>
                <w:lang w:val="uk-UA"/>
              </w:rPr>
              <w:t>Перерва на каву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10.20 – 12.30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Звіти з якості даних обстеження «Статистика доходів та умов життя в ЄС (EU-SILC)», підготовлені Статистичною службою Литви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26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lastRenderedPageBreak/>
              <w:t>12.30 – 14.00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i/>
                <w:lang w:val="uk-UA"/>
              </w:rPr>
            </w:pPr>
            <w:r w:rsidRPr="005F331D">
              <w:rPr>
                <w:i/>
                <w:lang w:val="uk-UA"/>
              </w:rPr>
              <w:t>Обід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14.00 – 15.00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Метадані EU-SILC відповідно до стандартів ЄС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15.00 – 15.20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i/>
                <w:iCs/>
                <w:lang w:val="uk-UA"/>
              </w:rPr>
              <w:t>Перерва на каву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spacing w:before="30" w:after="20"/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15.20 – 16.00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lang w:val="uk-UA"/>
              </w:rPr>
            </w:pPr>
            <w:r w:rsidRPr="005F331D">
              <w:rPr>
                <w:lang w:val="uk-UA"/>
              </w:rPr>
              <w:t>Європейська програма перевірки EU-SILC</w:t>
            </w:r>
          </w:p>
        </w:tc>
      </w:tr>
      <w:tr w:rsidR="00C317EB" w:rsidRPr="005F331D" w:rsidTr="005F331D">
        <w:tc>
          <w:tcPr>
            <w:tcW w:w="1668" w:type="dxa"/>
            <w:shd w:val="clear" w:color="auto" w:fill="auto"/>
          </w:tcPr>
          <w:p w:rsidR="00C317EB" w:rsidRPr="005F331D" w:rsidRDefault="00C317EB" w:rsidP="005F331D">
            <w:pPr>
              <w:jc w:val="center"/>
              <w:rPr>
                <w:lang w:val="uk-UA"/>
              </w:rPr>
            </w:pPr>
            <w:r w:rsidRPr="005F331D">
              <w:rPr>
                <w:lang w:val="uk-UA"/>
              </w:rPr>
              <w:t>16.00 – 17.00</w:t>
            </w:r>
          </w:p>
        </w:tc>
        <w:tc>
          <w:tcPr>
            <w:tcW w:w="7575" w:type="dxa"/>
            <w:shd w:val="clear" w:color="auto" w:fill="auto"/>
          </w:tcPr>
          <w:p w:rsidR="00C317EB" w:rsidRPr="005F331D" w:rsidRDefault="00C317EB" w:rsidP="005F331D">
            <w:pPr>
              <w:rPr>
                <w:i/>
                <w:iCs/>
                <w:lang w:val="uk-UA"/>
              </w:rPr>
            </w:pPr>
            <w:r w:rsidRPr="005F331D">
              <w:rPr>
                <w:b/>
                <w:bCs/>
                <w:lang w:val="uk-UA"/>
              </w:rPr>
              <w:t xml:space="preserve">Висновки </w:t>
            </w:r>
            <w:r w:rsidRPr="005F331D">
              <w:rPr>
                <w:lang w:val="uk-UA"/>
              </w:rPr>
              <w:t>(</w:t>
            </w:r>
            <w:r w:rsidRPr="005F331D">
              <w:rPr>
                <w:i/>
                <w:iCs/>
                <w:lang w:val="uk-UA"/>
              </w:rPr>
              <w:t>Запитання та коментарі</w:t>
            </w:r>
            <w:r w:rsidRPr="005F331D">
              <w:rPr>
                <w:lang w:val="uk-UA"/>
              </w:rPr>
              <w:t>)</w:t>
            </w:r>
          </w:p>
        </w:tc>
      </w:tr>
    </w:tbl>
    <w:p w:rsidR="00C317EB" w:rsidRPr="005F331D" w:rsidRDefault="00C317EB" w:rsidP="00C317EB">
      <w:pPr>
        <w:pStyle w:val="1"/>
      </w:pPr>
    </w:p>
    <w:p w:rsidR="00C317EB" w:rsidRPr="005F331D" w:rsidRDefault="00C317EB" w:rsidP="00C317EB">
      <w:pPr>
        <w:rPr>
          <w:lang w:val="ru-RU"/>
        </w:rPr>
      </w:pPr>
    </w:p>
    <w:p w:rsidR="00C317EB" w:rsidRPr="005F331D" w:rsidRDefault="00C317EB" w:rsidP="00C317EB">
      <w:pPr>
        <w:pStyle w:val="1"/>
        <w:rPr>
          <w:sz w:val="28"/>
          <w:szCs w:val="28"/>
          <w:lang w:val="uk-UA"/>
        </w:rPr>
      </w:pPr>
      <w:bookmarkStart w:id="8" w:name="_Toc373744047"/>
      <w:r w:rsidRPr="005F331D">
        <w:br w:type="page"/>
      </w:r>
      <w:r w:rsidRPr="005F331D">
        <w:rPr>
          <w:sz w:val="28"/>
          <w:szCs w:val="28"/>
          <w:lang w:val="uk-UA"/>
        </w:rPr>
        <w:lastRenderedPageBreak/>
        <w:t>Додаток</w:t>
      </w:r>
      <w:r w:rsidRPr="005F331D">
        <w:rPr>
          <w:sz w:val="28"/>
          <w:szCs w:val="28"/>
        </w:rPr>
        <w:t xml:space="preserve"> </w:t>
      </w:r>
      <w:r w:rsidRPr="00B85410">
        <w:rPr>
          <w:sz w:val="28"/>
          <w:szCs w:val="28"/>
          <w:lang w:val="uk-UA"/>
        </w:rPr>
        <w:t>3</w:t>
      </w:r>
      <w:r w:rsidRPr="005F331D">
        <w:rPr>
          <w:sz w:val="28"/>
          <w:szCs w:val="28"/>
        </w:rPr>
        <w:t xml:space="preserve">. </w:t>
      </w:r>
      <w:bookmarkEnd w:id="8"/>
      <w:r w:rsidRPr="005F331D">
        <w:rPr>
          <w:sz w:val="28"/>
          <w:szCs w:val="28"/>
          <w:lang w:val="uk-UA"/>
        </w:rPr>
        <w:t>Особи, з якими були проведені зустрічі</w:t>
      </w:r>
    </w:p>
    <w:p w:rsidR="00C317EB" w:rsidRPr="005F331D" w:rsidRDefault="00C317EB" w:rsidP="00C317EB">
      <w:pPr>
        <w:jc w:val="both"/>
        <w:rPr>
          <w:sz w:val="22"/>
          <w:lang w:val="ru-RU"/>
        </w:rPr>
      </w:pPr>
    </w:p>
    <w:p w:rsidR="00C317EB" w:rsidRPr="00C317EB" w:rsidRDefault="00C317EB" w:rsidP="00C317EB">
      <w:pPr>
        <w:jc w:val="both"/>
        <w:rPr>
          <w:sz w:val="22"/>
          <w:u w:val="single"/>
          <w:lang w:val="ru-RU"/>
        </w:rPr>
      </w:pPr>
      <w:r w:rsidRPr="005F331D">
        <w:rPr>
          <w:sz w:val="22"/>
          <w:u w:val="single"/>
          <w:lang w:val="uk-UA"/>
        </w:rPr>
        <w:t>Департамент статистики Литовської Республіки</w:t>
      </w:r>
      <w:r w:rsidRPr="00C317EB">
        <w:rPr>
          <w:sz w:val="22"/>
          <w:u w:val="single"/>
          <w:lang w:val="ru-RU"/>
        </w:rPr>
        <w:t>:</w:t>
      </w:r>
    </w:p>
    <w:p w:rsidR="00C317EB" w:rsidRPr="005F331D" w:rsidRDefault="00C317EB" w:rsidP="00C317EB">
      <w:pPr>
        <w:rPr>
          <w:lang w:val="ru-RU"/>
        </w:rPr>
      </w:pPr>
    </w:p>
    <w:p w:rsidR="00C317EB" w:rsidRPr="005F331D" w:rsidRDefault="00C317EB" w:rsidP="00C317EB">
      <w:r w:rsidRPr="005F331D">
        <w:rPr>
          <w:lang w:val="ru-RU"/>
        </w:rPr>
        <w:t xml:space="preserve">Даля </w:t>
      </w:r>
      <w:proofErr w:type="spellStart"/>
      <w:r w:rsidRPr="005F331D">
        <w:rPr>
          <w:lang w:val="ru-RU"/>
        </w:rPr>
        <w:t>Амброзаітене</w:t>
      </w:r>
      <w:proofErr w:type="spellEnd"/>
      <w:r w:rsidRPr="005F331D">
        <w:rPr>
          <w:lang w:val="ru-RU"/>
        </w:rPr>
        <w:t xml:space="preserve"> (</w:t>
      </w:r>
      <w:r w:rsidRPr="005F331D">
        <w:t>Dalia Ambrozaitienė</w:t>
      </w:r>
      <w:r w:rsidRPr="005F331D">
        <w:rPr>
          <w:lang w:val="uk-UA"/>
        </w:rPr>
        <w:t>)</w:t>
      </w:r>
      <w:r w:rsidRPr="005F331D">
        <w:rPr>
          <w:lang w:val="ru-RU"/>
        </w:rPr>
        <w:t xml:space="preserve">, заступник генерального директора </w:t>
      </w:r>
    </w:p>
    <w:p w:rsidR="00C317EB" w:rsidRPr="005F331D" w:rsidRDefault="00C317EB" w:rsidP="00C317EB"/>
    <w:p w:rsidR="00C317EB" w:rsidRPr="00B85410" w:rsidRDefault="00C317EB" w:rsidP="00C317EB">
      <w:proofErr w:type="spellStart"/>
      <w:r w:rsidRPr="005F331D">
        <w:rPr>
          <w:lang w:val="ru-RU"/>
        </w:rPr>
        <w:t>Регіна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Деве</w:t>
      </w:r>
      <w:r w:rsidRPr="005F331D">
        <w:rPr>
          <w:lang w:val="ru-RU"/>
        </w:rPr>
        <w:t>йките</w:t>
      </w:r>
      <w:proofErr w:type="spellEnd"/>
      <w:r w:rsidRPr="005F331D">
        <w:t xml:space="preserve"> (</w:t>
      </w:r>
      <w:r w:rsidRPr="00B85410">
        <w:t>Regina Deveikytė</w:t>
      </w:r>
      <w:r w:rsidRPr="005F331D">
        <w:rPr>
          <w:lang w:val="uk-UA"/>
        </w:rPr>
        <w:t>)</w:t>
      </w:r>
      <w:r w:rsidRPr="005F331D">
        <w:t xml:space="preserve">, </w:t>
      </w:r>
      <w:r w:rsidRPr="00B85410">
        <w:rPr>
          <w:lang w:val="ru-RU"/>
        </w:rPr>
        <w:t>начал</w:t>
      </w:r>
      <w:r w:rsidRPr="005F331D">
        <w:rPr>
          <w:lang w:val="ru-RU"/>
        </w:rPr>
        <w:t>ьник</w:t>
      </w:r>
      <w:r w:rsidRPr="005F331D">
        <w:t xml:space="preserve"> </w:t>
      </w:r>
      <w:proofErr w:type="spellStart"/>
      <w:r w:rsidRPr="00B85410">
        <w:rPr>
          <w:lang w:val="ru-RU"/>
        </w:rPr>
        <w:t>відділу</w:t>
      </w:r>
      <w:proofErr w:type="spellEnd"/>
      <w:r w:rsidRPr="005F331D">
        <w:t xml:space="preserve"> </w:t>
      </w:r>
      <w:proofErr w:type="spellStart"/>
      <w:proofErr w:type="gramStart"/>
      <w:r w:rsidRPr="00B85410">
        <w:rPr>
          <w:lang w:val="ru-RU"/>
        </w:rPr>
        <w:t>р</w:t>
      </w:r>
      <w:proofErr w:type="gramEnd"/>
      <w:r w:rsidRPr="00B85410">
        <w:rPr>
          <w:lang w:val="ru-RU"/>
        </w:rPr>
        <w:t>івня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життя</w:t>
      </w:r>
      <w:proofErr w:type="spellEnd"/>
      <w:r w:rsidRPr="005F331D">
        <w:t xml:space="preserve"> </w:t>
      </w:r>
      <w:r w:rsidRPr="00B85410">
        <w:rPr>
          <w:lang w:val="ru-RU"/>
        </w:rPr>
        <w:t>та</w:t>
      </w:r>
      <w:r w:rsidRPr="005F331D">
        <w:t xml:space="preserve"> </w:t>
      </w:r>
      <w:proofErr w:type="spellStart"/>
      <w:r w:rsidRPr="00B85410">
        <w:rPr>
          <w:lang w:val="ru-RU"/>
        </w:rPr>
        <w:t>зайнятості</w:t>
      </w:r>
      <w:proofErr w:type="spellEnd"/>
      <w:r w:rsidRPr="005F331D">
        <w:t xml:space="preserve"> </w:t>
      </w:r>
    </w:p>
    <w:p w:rsidR="00C317EB" w:rsidRPr="005F331D" w:rsidRDefault="00C317EB" w:rsidP="00C317EB"/>
    <w:p w:rsidR="00C317EB" w:rsidRPr="00B85410" w:rsidRDefault="00C317EB" w:rsidP="00C317EB">
      <w:proofErr w:type="spellStart"/>
      <w:r w:rsidRPr="005F331D">
        <w:rPr>
          <w:lang w:val="ru-RU"/>
        </w:rPr>
        <w:t>Ірина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Компан</w:t>
      </w:r>
      <w:r w:rsidRPr="005F331D">
        <w:rPr>
          <w:lang w:val="ru-RU"/>
        </w:rPr>
        <w:t>іець</w:t>
      </w:r>
      <w:proofErr w:type="spellEnd"/>
      <w:r w:rsidRPr="005F331D">
        <w:t xml:space="preserve"> </w:t>
      </w:r>
      <w:r w:rsidRPr="005F331D">
        <w:rPr>
          <w:lang w:val="uk-UA"/>
        </w:rPr>
        <w:t>(</w:t>
      </w:r>
      <w:r w:rsidRPr="005F331D">
        <w:t>Irina Kompanijec</w:t>
      </w:r>
      <w:r w:rsidRPr="005F331D">
        <w:rPr>
          <w:lang w:val="uk-UA"/>
        </w:rPr>
        <w:t>)</w:t>
      </w:r>
      <w:r w:rsidRPr="005F331D">
        <w:t xml:space="preserve">, </w:t>
      </w:r>
      <w:r w:rsidRPr="00B85410">
        <w:rPr>
          <w:lang w:val="ru-RU"/>
        </w:rPr>
        <w:t>заступника</w:t>
      </w:r>
      <w:r w:rsidRPr="005F331D">
        <w:t xml:space="preserve"> </w:t>
      </w:r>
      <w:r w:rsidRPr="00B85410">
        <w:rPr>
          <w:lang w:val="ru-RU"/>
        </w:rPr>
        <w:t>начальника</w:t>
      </w:r>
      <w:r w:rsidRPr="005F331D">
        <w:t xml:space="preserve"> </w:t>
      </w:r>
      <w:proofErr w:type="spellStart"/>
      <w:r w:rsidRPr="00B85410">
        <w:rPr>
          <w:lang w:val="ru-RU"/>
        </w:rPr>
        <w:t>відділу</w:t>
      </w:r>
      <w:proofErr w:type="spellEnd"/>
      <w:r w:rsidRPr="005F331D">
        <w:t xml:space="preserve"> </w:t>
      </w:r>
      <w:proofErr w:type="spellStart"/>
      <w:proofErr w:type="gramStart"/>
      <w:r w:rsidRPr="00B85410">
        <w:rPr>
          <w:lang w:val="ru-RU"/>
        </w:rPr>
        <w:t>р</w:t>
      </w:r>
      <w:proofErr w:type="gramEnd"/>
      <w:r w:rsidRPr="00B85410">
        <w:rPr>
          <w:lang w:val="ru-RU"/>
        </w:rPr>
        <w:t>івня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життя</w:t>
      </w:r>
      <w:proofErr w:type="spellEnd"/>
      <w:r w:rsidRPr="005F331D">
        <w:t xml:space="preserve"> </w:t>
      </w:r>
      <w:r w:rsidRPr="00B85410">
        <w:rPr>
          <w:lang w:val="ru-RU"/>
        </w:rPr>
        <w:t>та</w:t>
      </w:r>
      <w:r w:rsidRPr="005F331D">
        <w:t xml:space="preserve"> </w:t>
      </w:r>
      <w:proofErr w:type="spellStart"/>
      <w:r w:rsidRPr="00B85410">
        <w:rPr>
          <w:lang w:val="ru-RU"/>
        </w:rPr>
        <w:t>зайнятості</w:t>
      </w:r>
      <w:proofErr w:type="spellEnd"/>
      <w:r w:rsidRPr="005F331D">
        <w:t xml:space="preserve"> </w:t>
      </w:r>
    </w:p>
    <w:p w:rsidR="00C317EB" w:rsidRPr="005F331D" w:rsidRDefault="00C317EB" w:rsidP="00C317EB"/>
    <w:p w:rsidR="00C317EB" w:rsidRPr="005F331D" w:rsidRDefault="00C317EB" w:rsidP="00C317EB">
      <w:proofErr w:type="spellStart"/>
      <w:r w:rsidRPr="005F331D">
        <w:rPr>
          <w:lang w:val="ru-RU"/>
        </w:rPr>
        <w:t>Віда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Шуопите</w:t>
      </w:r>
      <w:proofErr w:type="spellEnd"/>
      <w:r w:rsidRPr="005F331D">
        <w:t xml:space="preserve"> (</w:t>
      </w:r>
      <w:r w:rsidRPr="00B85410">
        <w:t>Vida Šuopytė</w:t>
      </w:r>
      <w:r w:rsidRPr="005F331D">
        <w:rPr>
          <w:lang w:val="uk-UA"/>
        </w:rPr>
        <w:t>)</w:t>
      </w:r>
      <w:r w:rsidRPr="005F331D">
        <w:t xml:space="preserve">, </w:t>
      </w:r>
      <w:proofErr w:type="spellStart"/>
      <w:r w:rsidRPr="00B85410">
        <w:rPr>
          <w:lang w:val="ru-RU"/>
        </w:rPr>
        <w:t>головний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спеціалі</w:t>
      </w:r>
      <w:proofErr w:type="gramStart"/>
      <w:r w:rsidRPr="00B85410">
        <w:rPr>
          <w:lang w:val="ru-RU"/>
        </w:rPr>
        <w:t>ст</w:t>
      </w:r>
      <w:proofErr w:type="spellEnd"/>
      <w:proofErr w:type="gramEnd"/>
      <w:r w:rsidRPr="005F331D">
        <w:t xml:space="preserve"> </w:t>
      </w:r>
      <w:proofErr w:type="spellStart"/>
      <w:r w:rsidRPr="00B85410">
        <w:rPr>
          <w:lang w:val="ru-RU"/>
        </w:rPr>
        <w:t>відділу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рівня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життя</w:t>
      </w:r>
      <w:proofErr w:type="spellEnd"/>
      <w:r w:rsidRPr="005F331D">
        <w:t xml:space="preserve"> </w:t>
      </w:r>
      <w:r w:rsidRPr="00B85410">
        <w:rPr>
          <w:lang w:val="ru-RU"/>
        </w:rPr>
        <w:t>т</w:t>
      </w:r>
      <w:r w:rsidRPr="005F331D">
        <w:rPr>
          <w:lang w:val="ru-RU"/>
        </w:rPr>
        <w:t>а</w:t>
      </w:r>
      <w:r w:rsidRPr="005F331D">
        <w:t xml:space="preserve"> </w:t>
      </w:r>
      <w:proofErr w:type="spellStart"/>
      <w:r w:rsidRPr="00B85410">
        <w:rPr>
          <w:lang w:val="ru-RU"/>
        </w:rPr>
        <w:t>зайнятості</w:t>
      </w:r>
      <w:proofErr w:type="spellEnd"/>
      <w:r w:rsidRPr="005F331D">
        <w:t xml:space="preserve"> </w:t>
      </w:r>
    </w:p>
    <w:p w:rsidR="00C317EB" w:rsidRPr="00B85410" w:rsidRDefault="00C317EB" w:rsidP="00C317EB"/>
    <w:p w:rsidR="00C317EB" w:rsidRPr="00B85410" w:rsidRDefault="00C317EB" w:rsidP="00C317EB">
      <w:proofErr w:type="spellStart"/>
      <w:r w:rsidRPr="005F331D">
        <w:rPr>
          <w:lang w:val="ru-RU"/>
        </w:rPr>
        <w:t>Віолета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Шалнене</w:t>
      </w:r>
      <w:proofErr w:type="spellEnd"/>
      <w:r w:rsidRPr="005F331D">
        <w:t xml:space="preserve"> (</w:t>
      </w:r>
      <w:r w:rsidRPr="00B85410">
        <w:t>Violeta Šalnienė</w:t>
      </w:r>
      <w:r w:rsidRPr="005F331D">
        <w:rPr>
          <w:lang w:val="uk-UA"/>
        </w:rPr>
        <w:t>)</w:t>
      </w:r>
      <w:r w:rsidRPr="005F331D">
        <w:t xml:space="preserve">, </w:t>
      </w:r>
      <w:r w:rsidRPr="00B85410">
        <w:rPr>
          <w:lang w:val="ru-RU"/>
        </w:rPr>
        <w:t>начальник</w:t>
      </w:r>
      <w:r w:rsidRPr="005F331D">
        <w:t xml:space="preserve"> </w:t>
      </w:r>
      <w:proofErr w:type="spellStart"/>
      <w:r w:rsidRPr="00B85410">
        <w:rPr>
          <w:lang w:val="ru-RU"/>
        </w:rPr>
        <w:t>відділу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розвитку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інформаційних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технологій</w:t>
      </w:r>
      <w:proofErr w:type="spellEnd"/>
      <w:r w:rsidRPr="005F331D">
        <w:t xml:space="preserve"> </w:t>
      </w:r>
    </w:p>
    <w:p w:rsidR="00C317EB" w:rsidRPr="005F331D" w:rsidRDefault="00C317EB" w:rsidP="00C317EB"/>
    <w:p w:rsidR="00C317EB" w:rsidRPr="00B85410" w:rsidRDefault="00C317EB" w:rsidP="00C317EB">
      <w:proofErr w:type="spellStart"/>
      <w:r w:rsidRPr="005F331D">
        <w:rPr>
          <w:lang w:val="ru-RU"/>
        </w:rPr>
        <w:t>Аурелія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Скребене</w:t>
      </w:r>
      <w:proofErr w:type="spellEnd"/>
      <w:r w:rsidRPr="005F331D">
        <w:t xml:space="preserve"> (</w:t>
      </w:r>
      <w:r w:rsidRPr="00B85410">
        <w:t>Aurelija Skrebienė</w:t>
      </w:r>
      <w:r w:rsidRPr="005F331D">
        <w:rPr>
          <w:lang w:val="uk-UA"/>
        </w:rPr>
        <w:t>)</w:t>
      </w:r>
      <w:r w:rsidRPr="005F331D">
        <w:t xml:space="preserve">, </w:t>
      </w:r>
      <w:r w:rsidRPr="00B85410">
        <w:rPr>
          <w:lang w:val="ru-RU"/>
        </w:rPr>
        <w:t>з</w:t>
      </w:r>
      <w:r w:rsidRPr="005F331D">
        <w:rPr>
          <w:lang w:val="ru-RU"/>
        </w:rPr>
        <w:t>аступник</w:t>
      </w:r>
      <w:r w:rsidRPr="005F331D">
        <w:t xml:space="preserve"> </w:t>
      </w:r>
      <w:r w:rsidRPr="00B85410">
        <w:rPr>
          <w:lang w:val="ru-RU"/>
        </w:rPr>
        <w:t>начальника</w:t>
      </w:r>
      <w:r w:rsidRPr="005F331D">
        <w:t xml:space="preserve"> </w:t>
      </w:r>
      <w:proofErr w:type="spellStart"/>
      <w:r w:rsidRPr="00B85410">
        <w:rPr>
          <w:lang w:val="ru-RU"/>
        </w:rPr>
        <w:t>відділу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переписів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населення</w:t>
      </w:r>
      <w:proofErr w:type="spellEnd"/>
      <w:r w:rsidRPr="005F331D">
        <w:t xml:space="preserve"> </w:t>
      </w:r>
      <w:r w:rsidRPr="00B85410">
        <w:rPr>
          <w:lang w:val="ru-RU"/>
        </w:rPr>
        <w:t>та</w:t>
      </w:r>
      <w:r w:rsidRPr="005F331D">
        <w:t xml:space="preserve"> </w:t>
      </w:r>
      <w:proofErr w:type="spellStart"/>
      <w:r w:rsidRPr="00B85410">
        <w:rPr>
          <w:lang w:val="ru-RU"/>
        </w:rPr>
        <w:t>організації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опитувань</w:t>
      </w:r>
      <w:proofErr w:type="spellEnd"/>
      <w:r w:rsidRPr="005F331D">
        <w:t xml:space="preserve"> </w:t>
      </w:r>
    </w:p>
    <w:p w:rsidR="00C317EB" w:rsidRPr="005F331D" w:rsidRDefault="00C317EB" w:rsidP="00C317EB"/>
    <w:p w:rsidR="00C317EB" w:rsidRPr="00B85410" w:rsidRDefault="00C317EB" w:rsidP="00C317EB">
      <w:r w:rsidRPr="005F331D">
        <w:rPr>
          <w:lang w:val="ru-RU"/>
        </w:rPr>
        <w:t>Наталья</w:t>
      </w:r>
      <w:r w:rsidRPr="005F331D">
        <w:t xml:space="preserve"> </w:t>
      </w:r>
      <w:proofErr w:type="spellStart"/>
      <w:r w:rsidRPr="00B85410">
        <w:rPr>
          <w:lang w:val="ru-RU"/>
        </w:rPr>
        <w:t>Н</w:t>
      </w:r>
      <w:r w:rsidRPr="005F331D">
        <w:rPr>
          <w:lang w:val="ru-RU"/>
        </w:rPr>
        <w:t>ікіфорова</w:t>
      </w:r>
      <w:proofErr w:type="spellEnd"/>
      <w:r w:rsidRPr="005F331D">
        <w:t xml:space="preserve"> (</w:t>
      </w:r>
      <w:r w:rsidRPr="00B85410">
        <w:t>Natalja Nikiforo</w:t>
      </w:r>
      <w:r w:rsidRPr="005F331D">
        <w:t>va</w:t>
      </w:r>
      <w:r w:rsidRPr="005F331D">
        <w:rPr>
          <w:lang w:val="uk-UA"/>
        </w:rPr>
        <w:t>)</w:t>
      </w:r>
      <w:r w:rsidRPr="005F331D">
        <w:t xml:space="preserve">, </w:t>
      </w:r>
      <w:proofErr w:type="spellStart"/>
      <w:r w:rsidRPr="00B85410">
        <w:rPr>
          <w:lang w:val="ru-RU"/>
        </w:rPr>
        <w:t>головний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спеціалі</w:t>
      </w:r>
      <w:proofErr w:type="gramStart"/>
      <w:r w:rsidRPr="00B85410">
        <w:rPr>
          <w:lang w:val="ru-RU"/>
        </w:rPr>
        <w:t>ст</w:t>
      </w:r>
      <w:proofErr w:type="spellEnd"/>
      <w:proofErr w:type="gramEnd"/>
      <w:r w:rsidRPr="005F331D">
        <w:t xml:space="preserve"> </w:t>
      </w:r>
      <w:proofErr w:type="spellStart"/>
      <w:r w:rsidRPr="00B85410">
        <w:rPr>
          <w:lang w:val="ru-RU"/>
        </w:rPr>
        <w:t>відділу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переписів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населення</w:t>
      </w:r>
      <w:proofErr w:type="spellEnd"/>
      <w:r w:rsidRPr="005F331D">
        <w:t xml:space="preserve"> </w:t>
      </w:r>
      <w:r w:rsidRPr="00B85410">
        <w:rPr>
          <w:lang w:val="ru-RU"/>
        </w:rPr>
        <w:t>та</w:t>
      </w:r>
      <w:r w:rsidRPr="005F331D">
        <w:t xml:space="preserve"> </w:t>
      </w:r>
      <w:proofErr w:type="spellStart"/>
      <w:r w:rsidRPr="00B85410">
        <w:rPr>
          <w:lang w:val="ru-RU"/>
        </w:rPr>
        <w:t>організації</w:t>
      </w:r>
      <w:proofErr w:type="spellEnd"/>
      <w:r w:rsidRPr="005F331D">
        <w:t xml:space="preserve"> </w:t>
      </w:r>
      <w:proofErr w:type="spellStart"/>
      <w:r w:rsidRPr="00B85410">
        <w:rPr>
          <w:lang w:val="ru-RU"/>
        </w:rPr>
        <w:t>опитувань</w:t>
      </w:r>
      <w:proofErr w:type="spellEnd"/>
      <w:r w:rsidRPr="005F331D">
        <w:t xml:space="preserve"> </w:t>
      </w:r>
    </w:p>
    <w:p w:rsidR="00C317EB" w:rsidRPr="005F331D" w:rsidRDefault="00C317EB" w:rsidP="00C317EB"/>
    <w:p w:rsidR="00C317EB" w:rsidRPr="005F331D" w:rsidRDefault="00C317EB" w:rsidP="00C317EB">
      <w:pPr>
        <w:rPr>
          <w:lang w:val="ru-RU"/>
        </w:rPr>
      </w:pPr>
      <w:r w:rsidRPr="00B85410">
        <w:rPr>
          <w:lang w:val="ru-RU"/>
        </w:rPr>
        <w:t>Ра</w:t>
      </w:r>
      <w:r w:rsidRPr="005F331D">
        <w:rPr>
          <w:lang w:val="ru-RU"/>
        </w:rPr>
        <w:t xml:space="preserve">ймонда </w:t>
      </w:r>
      <w:proofErr w:type="spellStart"/>
      <w:r w:rsidRPr="005F331D">
        <w:rPr>
          <w:lang w:val="ru-RU"/>
        </w:rPr>
        <w:t>Шимене</w:t>
      </w:r>
      <w:proofErr w:type="spellEnd"/>
      <w:r w:rsidRPr="005F331D">
        <w:rPr>
          <w:lang w:val="ru-RU"/>
        </w:rPr>
        <w:t xml:space="preserve">,  </w:t>
      </w:r>
      <w:proofErr w:type="spellStart"/>
      <w:r w:rsidRPr="005F331D">
        <w:rPr>
          <w:lang w:val="ru-RU"/>
        </w:rPr>
        <w:t>головний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спеціалі</w:t>
      </w:r>
      <w:proofErr w:type="gramStart"/>
      <w:r w:rsidRPr="005F331D">
        <w:rPr>
          <w:lang w:val="ru-RU"/>
        </w:rPr>
        <w:t>ст</w:t>
      </w:r>
      <w:proofErr w:type="spellEnd"/>
      <w:proofErr w:type="gram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відділу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міжнародного</w:t>
      </w:r>
      <w:proofErr w:type="spellEnd"/>
      <w:r w:rsidRPr="005F331D">
        <w:rPr>
          <w:lang w:val="ru-RU"/>
        </w:rPr>
        <w:t xml:space="preserve"> </w:t>
      </w:r>
      <w:proofErr w:type="spellStart"/>
      <w:r w:rsidRPr="005F331D">
        <w:rPr>
          <w:lang w:val="ru-RU"/>
        </w:rPr>
        <w:t>співробітництва</w:t>
      </w:r>
      <w:proofErr w:type="spellEnd"/>
      <w:r w:rsidRPr="005F331D">
        <w:rPr>
          <w:lang w:val="ru-RU"/>
        </w:rPr>
        <w:t xml:space="preserve"> </w:t>
      </w:r>
    </w:p>
    <w:p w:rsidR="00C317EB" w:rsidRPr="005F331D" w:rsidRDefault="00C317EB" w:rsidP="00C317EB">
      <w:pPr>
        <w:autoSpaceDE w:val="0"/>
        <w:autoSpaceDN w:val="0"/>
        <w:adjustRightInd w:val="0"/>
        <w:rPr>
          <w:lang w:val="ru-RU"/>
        </w:rPr>
      </w:pPr>
    </w:p>
    <w:p w:rsidR="00BC0DAD" w:rsidRPr="00C317EB" w:rsidRDefault="00BC0DAD">
      <w:pPr>
        <w:rPr>
          <w:lang w:val="ru-RU"/>
        </w:rPr>
      </w:pPr>
      <w:bookmarkStart w:id="9" w:name="_GoBack"/>
      <w:bookmarkEnd w:id="9"/>
    </w:p>
    <w:sectPr w:rsidR="00BC0DAD" w:rsidRPr="00C317EB" w:rsidSect="00C0532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B" w:rsidRDefault="00C317EB" w:rsidP="00C0532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B6B" w:rsidRDefault="00C317EB" w:rsidP="00C053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B" w:rsidRDefault="00C317EB" w:rsidP="00C0532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BE6B6B" w:rsidRDefault="00C317EB" w:rsidP="00C0532D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B" w:rsidRPr="004C6C02" w:rsidRDefault="00C317EB" w:rsidP="00712325">
    <w:pPr>
      <w:rPr>
        <w:lang w:val="en-GB"/>
      </w:rPr>
    </w:pPr>
    <w:r>
      <w:tab/>
    </w:r>
  </w:p>
  <w:p w:rsidR="00BE6B6B" w:rsidRPr="001F1EB1" w:rsidRDefault="00C317EB">
    <w:pPr>
      <w:pStyle w:val="a9"/>
      <w:rPr>
        <w:lang w:val="en-GB"/>
      </w:rPr>
    </w:pPr>
    <w:r>
      <w:rPr>
        <w:lang w:val="en-GB"/>
      </w:rPr>
      <w:tab/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PAGE </w:instrText>
    </w:r>
    <w:r>
      <w:rPr>
        <w:lang w:val="en-GB"/>
      </w:rPr>
      <w:fldChar w:fldCharType="separate"/>
    </w:r>
    <w:r>
      <w:rPr>
        <w:noProof/>
        <w:lang w:val="en-GB"/>
      </w:rPr>
      <w:t>3</w:t>
    </w:r>
    <w:r w:rsidRPr="000026B5">
      <w:rPr>
        <w:lang w:val="en-GB"/>
      </w:rPr>
      <w:fldChar w:fldCharType="end"/>
    </w:r>
    <w:r w:rsidRPr="000026B5">
      <w:rPr>
        <w:lang w:val="en-GB"/>
      </w:rPr>
      <w:t xml:space="preserve"> of </w:t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NUMPAGES </w:instrText>
    </w:r>
    <w:r>
      <w:rPr>
        <w:lang w:val="en-GB"/>
      </w:rPr>
      <w:fldChar w:fldCharType="separate"/>
    </w:r>
    <w:r>
      <w:rPr>
        <w:noProof/>
        <w:lang w:val="en-GB"/>
      </w:rPr>
      <w:t>12</w:t>
    </w:r>
    <w:r w:rsidRPr="000026B5">
      <w:rPr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32AC"/>
    <w:multiLevelType w:val="hybridMultilevel"/>
    <w:tmpl w:val="3E7EF4CE"/>
    <w:lvl w:ilvl="0" w:tplc="A044D3A6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AEE2B19"/>
    <w:multiLevelType w:val="hybridMultilevel"/>
    <w:tmpl w:val="543AB15C"/>
    <w:lvl w:ilvl="0" w:tplc="CC22CF8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EB"/>
    <w:rsid w:val="00BC0DAD"/>
    <w:rsid w:val="00C317EB"/>
    <w:rsid w:val="00C72C8B"/>
    <w:rsid w:val="00F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1">
    <w:name w:val="heading 1"/>
    <w:basedOn w:val="a"/>
    <w:next w:val="a"/>
    <w:link w:val="10"/>
    <w:qFormat/>
    <w:rsid w:val="00C317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C317EB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7EB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70">
    <w:name w:val="Заголовок 7 Знак"/>
    <w:basedOn w:val="a0"/>
    <w:link w:val="7"/>
    <w:rsid w:val="00C317EB"/>
    <w:rPr>
      <w:rFonts w:ascii="Arial" w:eastAsia="Times New Roman" w:hAnsi="Arial" w:cs="Times New Roman"/>
      <w:b/>
      <w:sz w:val="24"/>
      <w:szCs w:val="20"/>
      <w:lang w:val="en-GB" w:eastAsia="de-DE"/>
    </w:rPr>
  </w:style>
  <w:style w:type="paragraph" w:styleId="a3">
    <w:name w:val="Title"/>
    <w:basedOn w:val="a"/>
    <w:link w:val="a4"/>
    <w:qFormat/>
    <w:rsid w:val="00C317EB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character" w:customStyle="1" w:styleId="a4">
    <w:name w:val="Название Знак"/>
    <w:basedOn w:val="a0"/>
    <w:link w:val="a3"/>
    <w:rsid w:val="00C317EB"/>
    <w:rPr>
      <w:rFonts w:ascii="Comic Sans MS" w:eastAsia="Times New Roman" w:hAnsi="Comic Sans MS" w:cs="Times New Roman"/>
      <w:kern w:val="28"/>
      <w:sz w:val="28"/>
      <w:szCs w:val="20"/>
      <w:lang w:val="pl-PL" w:eastAsia="de-DE"/>
    </w:rPr>
  </w:style>
  <w:style w:type="paragraph" w:styleId="3">
    <w:name w:val="toc 3"/>
    <w:basedOn w:val="a"/>
    <w:next w:val="a"/>
    <w:autoRedefine/>
    <w:uiPriority w:val="39"/>
    <w:qFormat/>
    <w:rsid w:val="00C317EB"/>
    <w:pPr>
      <w:ind w:left="48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C317EB"/>
    <w:pPr>
      <w:spacing w:before="240" w:after="120"/>
    </w:pPr>
    <w:rPr>
      <w:rFonts w:ascii="Calibri" w:hAnsi="Calibri"/>
      <w:b/>
      <w:bCs/>
      <w:sz w:val="20"/>
      <w:szCs w:val="20"/>
    </w:rPr>
  </w:style>
  <w:style w:type="character" w:styleId="a5">
    <w:name w:val="Hyperlink"/>
    <w:uiPriority w:val="99"/>
    <w:rsid w:val="00C317EB"/>
    <w:rPr>
      <w:color w:val="0000FF"/>
      <w:u w:val="single"/>
    </w:rPr>
  </w:style>
  <w:style w:type="paragraph" w:styleId="a6">
    <w:name w:val="footer"/>
    <w:basedOn w:val="a"/>
    <w:link w:val="a7"/>
    <w:rsid w:val="00C317EB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317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8">
    <w:name w:val="page number"/>
    <w:basedOn w:val="a0"/>
    <w:rsid w:val="00C317EB"/>
  </w:style>
  <w:style w:type="paragraph" w:styleId="2">
    <w:name w:val="toc 2"/>
    <w:basedOn w:val="a"/>
    <w:next w:val="a"/>
    <w:autoRedefine/>
    <w:uiPriority w:val="39"/>
    <w:qFormat/>
    <w:rsid w:val="00C317EB"/>
    <w:pPr>
      <w:tabs>
        <w:tab w:val="right" w:leader="dot" w:pos="9062"/>
      </w:tabs>
      <w:spacing w:before="120"/>
      <w:ind w:left="240"/>
    </w:pPr>
    <w:rPr>
      <w:rFonts w:ascii="Calibri" w:hAnsi="Calibri"/>
      <w:i/>
      <w:iCs/>
      <w:noProof/>
      <w:sz w:val="20"/>
      <w:szCs w:val="20"/>
      <w:lang w:val="ru-RU"/>
    </w:rPr>
  </w:style>
  <w:style w:type="paragraph" w:styleId="a9">
    <w:name w:val="header"/>
    <w:basedOn w:val="a"/>
    <w:link w:val="aa"/>
    <w:rsid w:val="00C317EB"/>
    <w:pPr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basedOn w:val="a0"/>
    <w:link w:val="a9"/>
    <w:rsid w:val="00C317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0">
    <w:name w:val=" Знак Знак2 Знак Знак Знак Знак Знак Знак"/>
    <w:basedOn w:val="a"/>
    <w:rsid w:val="00C317E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317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17EB"/>
    <w:rPr>
      <w:rFonts w:ascii="Tahoma" w:eastAsia="Times New Roman" w:hAnsi="Tahoma" w:cs="Tahoma"/>
      <w:sz w:val="16"/>
      <w:szCs w:val="1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1">
    <w:name w:val="heading 1"/>
    <w:basedOn w:val="a"/>
    <w:next w:val="a"/>
    <w:link w:val="10"/>
    <w:qFormat/>
    <w:rsid w:val="00C317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C317EB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7EB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70">
    <w:name w:val="Заголовок 7 Знак"/>
    <w:basedOn w:val="a0"/>
    <w:link w:val="7"/>
    <w:rsid w:val="00C317EB"/>
    <w:rPr>
      <w:rFonts w:ascii="Arial" w:eastAsia="Times New Roman" w:hAnsi="Arial" w:cs="Times New Roman"/>
      <w:b/>
      <w:sz w:val="24"/>
      <w:szCs w:val="20"/>
      <w:lang w:val="en-GB" w:eastAsia="de-DE"/>
    </w:rPr>
  </w:style>
  <w:style w:type="paragraph" w:styleId="a3">
    <w:name w:val="Title"/>
    <w:basedOn w:val="a"/>
    <w:link w:val="a4"/>
    <w:qFormat/>
    <w:rsid w:val="00C317EB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character" w:customStyle="1" w:styleId="a4">
    <w:name w:val="Название Знак"/>
    <w:basedOn w:val="a0"/>
    <w:link w:val="a3"/>
    <w:rsid w:val="00C317EB"/>
    <w:rPr>
      <w:rFonts w:ascii="Comic Sans MS" w:eastAsia="Times New Roman" w:hAnsi="Comic Sans MS" w:cs="Times New Roman"/>
      <w:kern w:val="28"/>
      <w:sz w:val="28"/>
      <w:szCs w:val="20"/>
      <w:lang w:val="pl-PL" w:eastAsia="de-DE"/>
    </w:rPr>
  </w:style>
  <w:style w:type="paragraph" w:styleId="3">
    <w:name w:val="toc 3"/>
    <w:basedOn w:val="a"/>
    <w:next w:val="a"/>
    <w:autoRedefine/>
    <w:uiPriority w:val="39"/>
    <w:qFormat/>
    <w:rsid w:val="00C317EB"/>
    <w:pPr>
      <w:ind w:left="48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C317EB"/>
    <w:pPr>
      <w:spacing w:before="240" w:after="120"/>
    </w:pPr>
    <w:rPr>
      <w:rFonts w:ascii="Calibri" w:hAnsi="Calibri"/>
      <w:b/>
      <w:bCs/>
      <w:sz w:val="20"/>
      <w:szCs w:val="20"/>
    </w:rPr>
  </w:style>
  <w:style w:type="character" w:styleId="a5">
    <w:name w:val="Hyperlink"/>
    <w:uiPriority w:val="99"/>
    <w:rsid w:val="00C317EB"/>
    <w:rPr>
      <w:color w:val="0000FF"/>
      <w:u w:val="single"/>
    </w:rPr>
  </w:style>
  <w:style w:type="paragraph" w:styleId="a6">
    <w:name w:val="footer"/>
    <w:basedOn w:val="a"/>
    <w:link w:val="a7"/>
    <w:rsid w:val="00C317EB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317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8">
    <w:name w:val="page number"/>
    <w:basedOn w:val="a0"/>
    <w:rsid w:val="00C317EB"/>
  </w:style>
  <w:style w:type="paragraph" w:styleId="2">
    <w:name w:val="toc 2"/>
    <w:basedOn w:val="a"/>
    <w:next w:val="a"/>
    <w:autoRedefine/>
    <w:uiPriority w:val="39"/>
    <w:qFormat/>
    <w:rsid w:val="00C317EB"/>
    <w:pPr>
      <w:tabs>
        <w:tab w:val="right" w:leader="dot" w:pos="9062"/>
      </w:tabs>
      <w:spacing w:before="120"/>
      <w:ind w:left="240"/>
    </w:pPr>
    <w:rPr>
      <w:rFonts w:ascii="Calibri" w:hAnsi="Calibri"/>
      <w:i/>
      <w:iCs/>
      <w:noProof/>
      <w:sz w:val="20"/>
      <w:szCs w:val="20"/>
      <w:lang w:val="ru-RU"/>
    </w:rPr>
  </w:style>
  <w:style w:type="paragraph" w:styleId="a9">
    <w:name w:val="header"/>
    <w:basedOn w:val="a"/>
    <w:link w:val="aa"/>
    <w:rsid w:val="00C317EB"/>
    <w:pPr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basedOn w:val="a0"/>
    <w:link w:val="a9"/>
    <w:rsid w:val="00C317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0">
    <w:name w:val=" Знак Знак2 Знак Знак Знак Знак Знак Знак"/>
    <w:basedOn w:val="a"/>
    <w:rsid w:val="00C317E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317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17EB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14096</Words>
  <Characters>8036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</dc:creator>
  <cp:lastModifiedBy>ORB</cp:lastModifiedBy>
  <cp:revision>1</cp:revision>
  <dcterms:created xsi:type="dcterms:W3CDTF">2014-04-25T07:19:00Z</dcterms:created>
  <dcterms:modified xsi:type="dcterms:W3CDTF">2014-04-25T07:20:00Z</dcterms:modified>
</cp:coreProperties>
</file>